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117CAB3F" w14:textId="77777777" w:rsidTr="009401CA">
        <w:tc>
          <w:tcPr>
            <w:tcW w:w="2943" w:type="dxa"/>
          </w:tcPr>
          <w:p w14:paraId="44D4FA00"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4A99FAE" w14:textId="77777777" w:rsidR="00691B5C" w:rsidRDefault="00691B5C" w:rsidP="00691B5C">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incorporated by Royal Charter and registered as a charity (under number 209131 in England &amp; Wales and number SC037733 in Scotland), with its principal office at 10 Spring Gardens, London, SW1A 2BN</w:t>
            </w:r>
          </w:p>
          <w:p w14:paraId="672A6659" w14:textId="77777777" w:rsidR="00DC2DA2" w:rsidRPr="00691B5C" w:rsidRDefault="00DC2DA2" w:rsidP="00691B5C">
            <w:pPr>
              <w:autoSpaceDE w:val="0"/>
              <w:autoSpaceDN w:val="0"/>
              <w:adjustRightInd w:val="0"/>
              <w:spacing w:before="0" w:line="240" w:lineRule="auto"/>
              <w:rPr>
                <w:rFonts w:cs="Arial"/>
                <w:b/>
                <w:szCs w:val="22"/>
              </w:rPr>
            </w:pPr>
          </w:p>
        </w:tc>
      </w:tr>
      <w:tr w:rsidR="00691B5C" w:rsidRPr="00691B5C" w14:paraId="0386E29D" w14:textId="77777777" w:rsidTr="009401CA">
        <w:trPr>
          <w:trHeight w:val="808"/>
        </w:trPr>
        <w:tc>
          <w:tcPr>
            <w:tcW w:w="2943" w:type="dxa"/>
          </w:tcPr>
          <w:p w14:paraId="1EEA86F1"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119E9CAB" w14:textId="77777777" w:rsidR="00691B5C" w:rsidRPr="00270B18" w:rsidRDefault="00270B18" w:rsidP="00F40CC9">
            <w:pPr>
              <w:spacing w:before="0" w:line="240" w:lineRule="auto"/>
              <w:rPr>
                <w:rFonts w:cs="Arial"/>
                <w:caps/>
                <w:szCs w:val="22"/>
              </w:rPr>
            </w:pPr>
            <w:r w:rsidRPr="00270B18">
              <w:rPr>
                <w:rFonts w:cs="Arial"/>
                <w:szCs w:val="22"/>
              </w:rPr>
              <w:t>TBC</w:t>
            </w:r>
          </w:p>
        </w:tc>
      </w:tr>
      <w:tr w:rsidR="0004199D" w:rsidRPr="0004199D" w14:paraId="06949B91" w14:textId="77777777" w:rsidTr="009401CA">
        <w:tblPrEx>
          <w:tblLook w:val="01E0" w:firstRow="1" w:lastRow="1" w:firstColumn="1" w:lastColumn="1" w:noHBand="0" w:noVBand="0"/>
        </w:tblPrEx>
        <w:tc>
          <w:tcPr>
            <w:tcW w:w="2943" w:type="dxa"/>
            <w:shd w:val="clear" w:color="auto" w:fill="auto"/>
          </w:tcPr>
          <w:p w14:paraId="3101716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6D662C6C" w14:textId="77777777" w:rsidR="00691B5C" w:rsidRPr="00270B18" w:rsidRDefault="00270B18" w:rsidP="0004199D">
            <w:pPr>
              <w:spacing w:before="0" w:line="240" w:lineRule="auto"/>
              <w:rPr>
                <w:rFonts w:cs="Arial"/>
                <w:szCs w:val="22"/>
              </w:rPr>
            </w:pPr>
            <w:r w:rsidRPr="00270B18">
              <w:rPr>
                <w:rFonts w:cs="Arial"/>
                <w:szCs w:val="22"/>
              </w:rPr>
              <w:t>TBC</w:t>
            </w:r>
          </w:p>
        </w:tc>
      </w:tr>
    </w:tbl>
    <w:p w14:paraId="69EDEDBB"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5E01E79B" w14:textId="77777777" w:rsidR="00691B5C" w:rsidRPr="00691B5C" w:rsidRDefault="00691B5C" w:rsidP="00691B5C">
      <w:pPr>
        <w:spacing w:line="240"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on the terms of this Agreement.</w:t>
      </w:r>
    </w:p>
    <w:p w14:paraId="47C92D66"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0AD01D55" w14:textId="77777777" w:rsidTr="00081114">
        <w:tc>
          <w:tcPr>
            <w:tcW w:w="1338" w:type="pct"/>
          </w:tcPr>
          <w:p w14:paraId="63445A83" w14:textId="77777777" w:rsidR="00691B5C" w:rsidRPr="00691B5C" w:rsidRDefault="00691B5C" w:rsidP="00F40CC9">
            <w:pPr>
              <w:spacing w:before="120" w:line="240" w:lineRule="auto"/>
              <w:rPr>
                <w:rFonts w:cs="Arial"/>
                <w:b/>
                <w:szCs w:val="22"/>
              </w:rPr>
            </w:pPr>
            <w:r w:rsidRPr="00691B5C">
              <w:rPr>
                <w:rFonts w:cs="Arial"/>
                <w:b/>
                <w:szCs w:val="22"/>
              </w:rPr>
              <w:t>Schedule 1</w:t>
            </w:r>
          </w:p>
        </w:tc>
        <w:tc>
          <w:tcPr>
            <w:tcW w:w="3662" w:type="pct"/>
          </w:tcPr>
          <w:p w14:paraId="21DA2C89"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775DA448" w14:textId="77777777" w:rsidTr="00081114">
        <w:tc>
          <w:tcPr>
            <w:tcW w:w="1338" w:type="pct"/>
          </w:tcPr>
          <w:p w14:paraId="3EB230B2" w14:textId="77777777" w:rsidR="00691B5C" w:rsidRPr="00691B5C" w:rsidRDefault="00691B5C" w:rsidP="00F40CC9">
            <w:pPr>
              <w:spacing w:before="120" w:line="240" w:lineRule="auto"/>
              <w:rPr>
                <w:rFonts w:cs="Arial"/>
                <w:b/>
                <w:szCs w:val="22"/>
              </w:rPr>
            </w:pPr>
            <w:r w:rsidRPr="00691B5C">
              <w:rPr>
                <w:rFonts w:cs="Arial"/>
                <w:b/>
                <w:szCs w:val="22"/>
              </w:rPr>
              <w:t>Schedule 2</w:t>
            </w:r>
          </w:p>
        </w:tc>
        <w:tc>
          <w:tcPr>
            <w:tcW w:w="3662" w:type="pct"/>
          </w:tcPr>
          <w:p w14:paraId="35590C44"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1728828A" w14:textId="77777777" w:rsidTr="00081114">
        <w:tc>
          <w:tcPr>
            <w:tcW w:w="1338" w:type="pct"/>
          </w:tcPr>
          <w:p w14:paraId="49EF0EF1" w14:textId="77777777" w:rsidR="00691B5C" w:rsidRPr="00691B5C" w:rsidRDefault="00691B5C" w:rsidP="00F40CC9">
            <w:pPr>
              <w:spacing w:before="120" w:line="240" w:lineRule="auto"/>
              <w:rPr>
                <w:rFonts w:cs="Arial"/>
                <w:b/>
                <w:szCs w:val="22"/>
              </w:rPr>
            </w:pPr>
            <w:r w:rsidRPr="00691B5C">
              <w:rPr>
                <w:rFonts w:cs="Arial"/>
                <w:b/>
                <w:szCs w:val="22"/>
              </w:rPr>
              <w:t>Schedule 3</w:t>
            </w:r>
          </w:p>
        </w:tc>
        <w:tc>
          <w:tcPr>
            <w:tcW w:w="3662" w:type="pct"/>
          </w:tcPr>
          <w:p w14:paraId="48A3BE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22EA7BE5" w14:textId="77777777" w:rsidTr="00081114">
        <w:tc>
          <w:tcPr>
            <w:tcW w:w="1338" w:type="pct"/>
          </w:tcPr>
          <w:p w14:paraId="6619F897" w14:textId="77777777" w:rsidR="00691B5C" w:rsidRPr="00691B5C" w:rsidRDefault="00691B5C" w:rsidP="00F40CC9">
            <w:pPr>
              <w:spacing w:before="120" w:line="240" w:lineRule="auto"/>
              <w:rPr>
                <w:rFonts w:cs="Arial"/>
                <w:b/>
                <w:szCs w:val="22"/>
              </w:rPr>
            </w:pPr>
            <w:r w:rsidRPr="00691B5C">
              <w:rPr>
                <w:rFonts w:cs="Arial"/>
                <w:b/>
                <w:szCs w:val="22"/>
              </w:rPr>
              <w:t>Schedule 4</w:t>
            </w:r>
          </w:p>
        </w:tc>
        <w:tc>
          <w:tcPr>
            <w:tcW w:w="3662" w:type="pct"/>
          </w:tcPr>
          <w:p w14:paraId="77BF4EF4"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67465" w:rsidRPr="00691B5C" w14:paraId="4117F120" w14:textId="77777777" w:rsidTr="00081114">
        <w:tc>
          <w:tcPr>
            <w:tcW w:w="1338" w:type="pct"/>
          </w:tcPr>
          <w:p w14:paraId="4EDD8DFF" w14:textId="77777777" w:rsidR="00C67465" w:rsidRPr="00691B5C" w:rsidRDefault="00C67465" w:rsidP="00F40CC9">
            <w:pPr>
              <w:spacing w:before="120" w:line="240" w:lineRule="auto"/>
              <w:rPr>
                <w:rFonts w:cs="Arial"/>
                <w:b/>
                <w:szCs w:val="22"/>
              </w:rPr>
            </w:pPr>
            <w:r>
              <w:rPr>
                <w:rFonts w:cs="Arial"/>
                <w:b/>
                <w:szCs w:val="22"/>
              </w:rPr>
              <w:t>Schedule 5</w:t>
            </w:r>
          </w:p>
        </w:tc>
        <w:tc>
          <w:tcPr>
            <w:tcW w:w="3662" w:type="pct"/>
          </w:tcPr>
          <w:p w14:paraId="605A0F64" w14:textId="77777777" w:rsidR="00C67465" w:rsidRPr="00691B5C" w:rsidRDefault="00C67465" w:rsidP="00F40CC9">
            <w:pPr>
              <w:spacing w:before="120" w:line="240" w:lineRule="auto"/>
              <w:rPr>
                <w:rFonts w:cs="Arial"/>
                <w:szCs w:val="22"/>
              </w:rPr>
            </w:pPr>
            <w:r>
              <w:rPr>
                <w:rFonts w:cs="Arial"/>
                <w:szCs w:val="22"/>
              </w:rPr>
              <w:t xml:space="preserve">Data Processing Schedule </w:t>
            </w:r>
          </w:p>
        </w:tc>
      </w:tr>
    </w:tbl>
    <w:p w14:paraId="57EFA17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1E01FF">
        <w:rPr>
          <w:rFonts w:cs="Arial"/>
          <w:szCs w:val="22"/>
        </w:rPr>
        <w:t>Supplier</w:t>
      </w:r>
      <w:r w:rsidRPr="00691B5C">
        <w:rPr>
          <w:rFonts w:cs="Arial"/>
          <w:szCs w:val="22"/>
        </w:rPr>
        <w:t>.</w:t>
      </w:r>
    </w:p>
    <w:p w14:paraId="0C8501F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0C2CB9BD"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9395843" w14:textId="77777777" w:rsidTr="00F40CC9">
        <w:trPr>
          <w:cantSplit/>
          <w:trHeight w:val="557"/>
        </w:trPr>
        <w:tc>
          <w:tcPr>
            <w:tcW w:w="721" w:type="pct"/>
            <w:vAlign w:val="bottom"/>
          </w:tcPr>
          <w:p w14:paraId="5ED90B35"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0A37501D"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3F6D6C16"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5DAB6C7B"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0A849FD5" w14:textId="77777777" w:rsidTr="00F40CC9">
        <w:trPr>
          <w:cantSplit/>
          <w:trHeight w:val="512"/>
        </w:trPr>
        <w:tc>
          <w:tcPr>
            <w:tcW w:w="721" w:type="pct"/>
            <w:vAlign w:val="bottom"/>
          </w:tcPr>
          <w:p w14:paraId="6AAAFE7E"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02EB378F"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A05A809" w14:textId="77777777" w:rsidR="00081114" w:rsidRPr="00691B5C" w:rsidRDefault="00081114" w:rsidP="00F40CC9">
            <w:pPr>
              <w:spacing w:before="120" w:line="240" w:lineRule="auto"/>
              <w:jc w:val="left"/>
              <w:rPr>
                <w:rFonts w:cs="Arial"/>
                <w:szCs w:val="22"/>
              </w:rPr>
            </w:pPr>
          </w:p>
        </w:tc>
        <w:tc>
          <w:tcPr>
            <w:tcW w:w="1763" w:type="pct"/>
            <w:vAlign w:val="bottom"/>
          </w:tcPr>
          <w:p w14:paraId="5A39BBE3" w14:textId="77777777" w:rsidR="00081114" w:rsidRPr="00691B5C" w:rsidRDefault="00081114" w:rsidP="00F40CC9">
            <w:pPr>
              <w:tabs>
                <w:tab w:val="left" w:leader="dot" w:pos="3132"/>
              </w:tabs>
              <w:spacing w:before="120" w:line="240" w:lineRule="auto"/>
              <w:jc w:val="left"/>
              <w:rPr>
                <w:rFonts w:cs="Arial"/>
                <w:szCs w:val="22"/>
              </w:rPr>
            </w:pPr>
          </w:p>
        </w:tc>
      </w:tr>
    </w:tbl>
    <w:p w14:paraId="5C2CE98C" w14:textId="77777777" w:rsidR="00081114" w:rsidRPr="009401CA" w:rsidRDefault="00081114" w:rsidP="009401CA">
      <w:pPr>
        <w:keepNext/>
        <w:spacing w:line="240" w:lineRule="auto"/>
        <w:rPr>
          <w:rFonts w:cs="Arial"/>
          <w:b/>
          <w:szCs w:val="22"/>
        </w:rPr>
      </w:pPr>
      <w:r w:rsidRPr="009401CA">
        <w:rPr>
          <w:rFonts w:cs="Arial"/>
          <w:b/>
          <w:szCs w:val="22"/>
        </w:rPr>
        <w:t xml:space="preserve">Signed by the duly authorised representative of </w:t>
      </w:r>
      <w:r w:rsidR="00270B18" w:rsidRPr="00270B18">
        <w:rPr>
          <w:rFonts w:cs="Arial"/>
          <w:szCs w:val="22"/>
        </w:rPr>
        <w:t>TBC</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21AE1137" w14:textId="77777777" w:rsidTr="00F40CC9">
        <w:trPr>
          <w:cantSplit/>
          <w:trHeight w:val="521"/>
        </w:trPr>
        <w:tc>
          <w:tcPr>
            <w:tcW w:w="721" w:type="pct"/>
            <w:vAlign w:val="bottom"/>
          </w:tcPr>
          <w:p w14:paraId="0871540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41C8F396"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6032B70"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2A3D3EC"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3F033BCF" w14:textId="77777777" w:rsidTr="00F40CC9">
        <w:trPr>
          <w:cantSplit/>
          <w:trHeight w:val="503"/>
        </w:trPr>
        <w:tc>
          <w:tcPr>
            <w:tcW w:w="721" w:type="pct"/>
            <w:vAlign w:val="bottom"/>
          </w:tcPr>
          <w:p w14:paraId="34168F05"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0D0B940D"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E27B00A" w14:textId="77777777" w:rsidR="00081114" w:rsidRPr="00691B5C" w:rsidRDefault="00081114" w:rsidP="00F40CC9">
            <w:pPr>
              <w:keepNext/>
              <w:spacing w:before="120" w:line="240" w:lineRule="auto"/>
              <w:jc w:val="left"/>
              <w:rPr>
                <w:rFonts w:cs="Arial"/>
                <w:szCs w:val="22"/>
              </w:rPr>
            </w:pPr>
          </w:p>
        </w:tc>
        <w:tc>
          <w:tcPr>
            <w:tcW w:w="1763" w:type="pct"/>
            <w:vAlign w:val="bottom"/>
          </w:tcPr>
          <w:p w14:paraId="60061E4C" w14:textId="77777777" w:rsidR="00081114" w:rsidRPr="00691B5C" w:rsidRDefault="00081114" w:rsidP="00F40CC9">
            <w:pPr>
              <w:keepNext/>
              <w:tabs>
                <w:tab w:val="left" w:leader="dot" w:pos="3132"/>
              </w:tabs>
              <w:spacing w:before="120" w:line="240" w:lineRule="auto"/>
              <w:jc w:val="left"/>
              <w:rPr>
                <w:rFonts w:cs="Arial"/>
                <w:szCs w:val="22"/>
              </w:rPr>
            </w:pPr>
          </w:p>
        </w:tc>
      </w:tr>
    </w:tbl>
    <w:p w14:paraId="44EAFD9C" w14:textId="77777777" w:rsidR="00691B5C" w:rsidRPr="00081114" w:rsidRDefault="00081114" w:rsidP="00691B5C">
      <w:pPr>
        <w:keepNext/>
        <w:spacing w:before="120" w:line="240" w:lineRule="auto"/>
        <w:rPr>
          <w:rFonts w:cs="Arial"/>
          <w:sz w:val="2"/>
          <w:szCs w:val="22"/>
        </w:rPr>
      </w:pPr>
      <w:r>
        <w:rPr>
          <w:rFonts w:cs="Arial"/>
          <w:szCs w:val="22"/>
        </w:rPr>
        <w:br w:type="page"/>
      </w:r>
    </w:p>
    <w:p w14:paraId="4B94D5A5"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106A1645"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DA547E4"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BA3A8C">
        <w:rPr>
          <w:rFonts w:cs="Arial"/>
          <w:szCs w:val="22"/>
        </w:rPr>
        <w:fldChar w:fldCharType="begin"/>
      </w:r>
      <w:r w:rsidR="00BA3A8C">
        <w:rPr>
          <w:rFonts w:cs="Arial"/>
          <w:szCs w:val="22"/>
        </w:rPr>
        <w:instrText xml:space="preserve"> REF _Ref299961696 \r \h </w:instrText>
      </w:r>
      <w:r w:rsidR="00BA3A8C">
        <w:rPr>
          <w:rFonts w:cs="Arial"/>
          <w:szCs w:val="22"/>
        </w:rPr>
      </w:r>
      <w:r w:rsidR="00BA3A8C">
        <w:rPr>
          <w:rFonts w:cs="Arial"/>
          <w:szCs w:val="22"/>
        </w:rPr>
        <w:fldChar w:fldCharType="separate"/>
      </w:r>
      <w:r w:rsidR="005E7CC4">
        <w:rPr>
          <w:rFonts w:cs="Arial"/>
          <w:szCs w:val="22"/>
        </w:rPr>
        <w:t>Schedule 1</w:t>
      </w:r>
      <w:r w:rsidR="00BA3A8C">
        <w:rPr>
          <w:rFonts w:cs="Arial"/>
          <w:szCs w:val="22"/>
        </w:rPr>
        <w:fldChar w:fldCharType="end"/>
      </w:r>
      <w:r w:rsidR="009A60D1">
        <w:rPr>
          <w:rFonts w:cs="Arial"/>
          <w:szCs w:val="22"/>
        </w:rPr>
        <w:t xml:space="preserve"> </w:t>
      </w:r>
      <w:r w:rsidRPr="00691B5C">
        <w:rPr>
          <w:rFonts w:cs="Arial"/>
          <w:szCs w:val="22"/>
        </w:rPr>
        <w:t xml:space="preserve">shall have the same meanings when used throughout this Agreement. </w:t>
      </w:r>
    </w:p>
    <w:p w14:paraId="34AFC9FA"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4C1F1972"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5CA72A28"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1B0C6C05" w14:textId="40E44D6D" w:rsidR="00691B5C" w:rsidRDefault="00691B5C" w:rsidP="3A4C689A">
      <w:pPr>
        <w:pStyle w:val="MRheading20"/>
        <w:spacing w:before="60" w:after="160" w:line="276" w:lineRule="auto"/>
        <w:rPr>
          <w:rFonts w:cs="Arial"/>
        </w:rPr>
      </w:pPr>
      <w:r w:rsidRPr="3A4C689A">
        <w:rPr>
          <w:rFonts w:cs="Arial"/>
        </w:rPr>
        <w:t xml:space="preserve">This Agreement shall come into force on </w:t>
      </w:r>
      <w:r w:rsidR="781D8E62" w:rsidRPr="3A4C689A">
        <w:rPr>
          <w:rFonts w:cs="Arial"/>
          <w:highlight w:val="yellow"/>
        </w:rPr>
        <w:t>2</w:t>
      </w:r>
      <w:r w:rsidR="00E37845">
        <w:rPr>
          <w:rFonts w:cs="Arial"/>
          <w:highlight w:val="yellow"/>
        </w:rPr>
        <w:t>0</w:t>
      </w:r>
      <w:r w:rsidR="781D8E62" w:rsidRPr="3A4C689A">
        <w:rPr>
          <w:rFonts w:cs="Arial"/>
          <w:highlight w:val="yellow"/>
        </w:rPr>
        <w:t xml:space="preserve"> </w:t>
      </w:r>
      <w:r w:rsidR="00E37845">
        <w:rPr>
          <w:rFonts w:cs="Arial"/>
          <w:highlight w:val="yellow"/>
        </w:rPr>
        <w:t>July</w:t>
      </w:r>
      <w:r w:rsidR="007E3344" w:rsidRPr="3A4C689A">
        <w:rPr>
          <w:rFonts w:cs="Arial"/>
          <w:highlight w:val="yellow"/>
        </w:rPr>
        <w:t xml:space="preserve"> </w:t>
      </w:r>
      <w:r w:rsidR="00270B18" w:rsidRPr="3A4C689A">
        <w:rPr>
          <w:rFonts w:cs="Arial"/>
          <w:highlight w:val="yellow"/>
        </w:rPr>
        <w:t>202</w:t>
      </w:r>
      <w:r w:rsidR="00E37845">
        <w:rPr>
          <w:rFonts w:cs="Arial"/>
        </w:rPr>
        <w:t>2</w:t>
      </w:r>
      <w:r w:rsidRPr="3A4C689A">
        <w:rPr>
          <w:rFonts w:cs="Arial"/>
          <w:b/>
          <w:bCs/>
        </w:rPr>
        <w:t xml:space="preserve"> </w:t>
      </w:r>
      <w:r w:rsidRPr="3A4C689A">
        <w:rPr>
          <w:rFonts w:cs="Arial"/>
        </w:rPr>
        <w:t>(the “</w:t>
      </w:r>
      <w:r w:rsidRPr="3A4C689A">
        <w:rPr>
          <w:rFonts w:cs="Arial"/>
          <w:b/>
          <w:bCs/>
        </w:rPr>
        <w:t>Commencement Date</w:t>
      </w:r>
      <w:r w:rsidRPr="3A4C689A">
        <w:rPr>
          <w:rFonts w:cs="Arial"/>
        </w:rPr>
        <w:t xml:space="preserve">”) and, subject to paragraph </w:t>
      </w:r>
      <w:r w:rsidRPr="3A4C689A">
        <w:rPr>
          <w:rFonts w:cs="Arial"/>
        </w:rPr>
        <w:fldChar w:fldCharType="begin"/>
      </w:r>
      <w:r w:rsidRPr="3A4C689A">
        <w:rPr>
          <w:rFonts w:cs="Arial"/>
        </w:rPr>
        <w:instrText xml:space="preserve"> REF _Ref266438256 \r \h  \* MERGEFORMAT </w:instrText>
      </w:r>
      <w:r w:rsidRPr="3A4C689A">
        <w:rPr>
          <w:rFonts w:cs="Arial"/>
        </w:rPr>
      </w:r>
      <w:r w:rsidRPr="3A4C689A">
        <w:rPr>
          <w:rFonts w:cs="Arial"/>
        </w:rPr>
        <w:fldChar w:fldCharType="separate"/>
      </w:r>
      <w:r w:rsidR="005E7CC4" w:rsidRPr="3A4C689A">
        <w:rPr>
          <w:rFonts w:cs="Arial"/>
        </w:rPr>
        <w:t>1.2</w:t>
      </w:r>
      <w:r w:rsidRPr="3A4C689A">
        <w:rPr>
          <w:rFonts w:cs="Arial"/>
        </w:rPr>
        <w:fldChar w:fldCharType="end"/>
      </w:r>
      <w:r w:rsidRPr="3A4C689A">
        <w:rPr>
          <w:rFonts w:cs="Arial"/>
        </w:rPr>
        <w:t xml:space="preserve"> below, shall continue in full force and effect until </w:t>
      </w:r>
      <w:r w:rsidR="00E37845">
        <w:rPr>
          <w:rFonts w:cs="Arial"/>
          <w:highlight w:val="yellow"/>
        </w:rPr>
        <w:t>31</w:t>
      </w:r>
      <w:r w:rsidR="00223245" w:rsidRPr="3A4C689A">
        <w:rPr>
          <w:rFonts w:cs="Arial"/>
          <w:highlight w:val="yellow"/>
        </w:rPr>
        <w:t xml:space="preserve"> March</w:t>
      </w:r>
      <w:r w:rsidR="00270B18" w:rsidRPr="3A4C689A">
        <w:rPr>
          <w:rFonts w:cs="Arial"/>
          <w:highlight w:val="yellow"/>
        </w:rPr>
        <w:t xml:space="preserve"> 202</w:t>
      </w:r>
      <w:r w:rsidR="00E37845">
        <w:rPr>
          <w:rFonts w:cs="Arial"/>
        </w:rPr>
        <w:t>3</w:t>
      </w:r>
      <w:r w:rsidR="00270B18" w:rsidRPr="3A4C689A">
        <w:rPr>
          <w:rFonts w:cs="Arial"/>
        </w:rPr>
        <w:t xml:space="preserve"> </w:t>
      </w:r>
      <w:r w:rsidRPr="3A4C689A">
        <w:rPr>
          <w:rFonts w:cs="Arial"/>
        </w:rPr>
        <w:t>(the “</w:t>
      </w:r>
      <w:r w:rsidRPr="3A4C689A">
        <w:rPr>
          <w:rFonts w:cs="Arial"/>
          <w:b/>
          <w:bCs/>
        </w:rPr>
        <w:t>Term</w:t>
      </w:r>
      <w:r w:rsidRPr="3A4C689A">
        <w:rPr>
          <w:rFonts w:cs="Arial"/>
        </w:rPr>
        <w:t>”).</w:t>
      </w:r>
      <w:r w:rsidR="00723BF3" w:rsidRPr="3A4C689A">
        <w:rPr>
          <w:rFonts w:cs="Arial"/>
        </w:rPr>
        <w:t xml:space="preserve"> </w:t>
      </w:r>
    </w:p>
    <w:p w14:paraId="3E7AD651"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00270B18" w:rsidRPr="00270B18">
        <w:rPr>
          <w:rFonts w:cs="Arial"/>
          <w:szCs w:val="22"/>
        </w:rPr>
        <w:t>30</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3"/>
    </w:p>
    <w:p w14:paraId="7B57991A"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733B1091" w14:textId="77777777" w:rsidR="00691B5C" w:rsidRPr="00691B5C" w:rsidRDefault="00691B5C" w:rsidP="00691B5C">
      <w:pPr>
        <w:pStyle w:val="MRheading20"/>
        <w:spacing w:before="60" w:after="160" w:line="276" w:lineRule="auto"/>
        <w:rPr>
          <w:rFonts w:cs="Arial"/>
          <w:szCs w:val="22"/>
        </w:rPr>
      </w:pPr>
      <w:r w:rsidRPr="00270B18">
        <w:rPr>
          <w:rFonts w:cs="Arial"/>
          <w:szCs w:val="22"/>
        </w:rPr>
        <w:t>Not applicable</w:t>
      </w:r>
      <w:r w:rsidR="00A1761C">
        <w:rPr>
          <w:rFonts w:cs="Arial"/>
          <w:b/>
          <w:szCs w:val="22"/>
        </w:rPr>
        <w:t>.</w:t>
      </w:r>
    </w:p>
    <w:p w14:paraId="3AE441B7"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684985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w:t>
      </w:r>
      <w:r w:rsidR="00270B18">
        <w:rPr>
          <w:rFonts w:cs="Arial"/>
          <w:szCs w:val="22"/>
        </w:rPr>
        <w:t>at the Supplier’s own premises and at the British Council</w:t>
      </w:r>
      <w:r w:rsidR="00412E26">
        <w:rPr>
          <w:rFonts w:cs="Arial"/>
          <w:szCs w:val="22"/>
        </w:rPr>
        <w:t>’s</w:t>
      </w:r>
      <w:r w:rsidR="00270B18">
        <w:rPr>
          <w:rFonts w:cs="Arial"/>
          <w:szCs w:val="22"/>
        </w:rPr>
        <w:t xml:space="preserve"> offices in </w:t>
      </w:r>
      <w:r w:rsidR="001052C0">
        <w:rPr>
          <w:rFonts w:cs="Arial"/>
          <w:szCs w:val="22"/>
        </w:rPr>
        <w:t>Peru</w:t>
      </w:r>
      <w:r w:rsidR="00270B18">
        <w:rPr>
          <w:rFonts w:cs="Arial"/>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160B2EEB"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4BB968" w14:textId="77777777" w:rsidR="00691B5C" w:rsidRPr="00270B18" w:rsidRDefault="00691B5C" w:rsidP="00270B18">
      <w:pPr>
        <w:pStyle w:val="MRheading20"/>
        <w:spacing w:before="60" w:after="160" w:line="276" w:lineRule="auto"/>
        <w:rPr>
          <w:rFonts w:cs="Arial"/>
          <w:szCs w:val="22"/>
        </w:rPr>
      </w:pPr>
      <w:r w:rsidRPr="00270B18">
        <w:rPr>
          <w:rFonts w:cs="Arial"/>
          <w:szCs w:val="22"/>
        </w:rPr>
        <w:t xml:space="preserve">The </w:t>
      </w:r>
      <w:r w:rsidR="001E01FF" w:rsidRPr="00270B18">
        <w:rPr>
          <w:rFonts w:cs="Arial"/>
          <w:szCs w:val="22"/>
        </w:rPr>
        <w:t>Supplier</w:t>
      </w:r>
      <w:r w:rsidRPr="00270B18">
        <w:rPr>
          <w:rFonts w:cs="Arial"/>
          <w:szCs w:val="22"/>
        </w:rPr>
        <w:t xml:space="preserve"> </w:t>
      </w:r>
      <w:r w:rsidR="00270B18">
        <w:t>will provide all equipment necessary to provide the services specified</w:t>
      </w:r>
      <w:r w:rsidR="00412E26">
        <w:t xml:space="preserve"> </w:t>
      </w:r>
      <w:r w:rsidRPr="00270B18">
        <w:rPr>
          <w:rFonts w:cs="Arial"/>
          <w:szCs w:val="22"/>
        </w:rPr>
        <w:t>(the “</w:t>
      </w:r>
      <w:r w:rsidR="001E01FF" w:rsidRPr="00412E26">
        <w:rPr>
          <w:rFonts w:cs="Arial"/>
          <w:b/>
          <w:szCs w:val="22"/>
        </w:rPr>
        <w:t>Supplier</w:t>
      </w:r>
      <w:r w:rsidRPr="00412E26">
        <w:rPr>
          <w:rFonts w:cs="Arial"/>
          <w:b/>
          <w:szCs w:val="22"/>
        </w:rPr>
        <w:t>’s Equipment</w:t>
      </w:r>
      <w:r w:rsidRPr="00270B18">
        <w:rPr>
          <w:rFonts w:cs="Arial"/>
          <w:szCs w:val="22"/>
        </w:rPr>
        <w:t>”)</w:t>
      </w:r>
      <w:r w:rsidR="00412E26">
        <w:rPr>
          <w:rFonts w:cs="Arial"/>
          <w:szCs w:val="22"/>
        </w:rPr>
        <w:t>.</w:t>
      </w:r>
    </w:p>
    <w:p w14:paraId="6DCA530A" w14:textId="77777777" w:rsidR="00691B5C" w:rsidRPr="00691B5C" w:rsidRDefault="00691B5C" w:rsidP="00691B5C">
      <w:pPr>
        <w:pStyle w:val="MRheading10"/>
        <w:spacing w:before="60" w:after="160" w:line="276" w:lineRule="auto"/>
        <w:rPr>
          <w:rFonts w:cs="Arial"/>
          <w:szCs w:val="22"/>
        </w:rPr>
      </w:pPr>
      <w:r w:rsidRPr="00691B5C">
        <w:rPr>
          <w:rFonts w:cs="Arial"/>
          <w:szCs w:val="22"/>
        </w:rPr>
        <w:t>Key Personnel</w:t>
      </w:r>
    </w:p>
    <w:p w14:paraId="5B59F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00270B18" w:rsidRPr="00A1761C">
        <w:rPr>
          <w:rFonts w:cs="Arial"/>
          <w:szCs w:val="22"/>
        </w:rPr>
        <w:t>TBC</w:t>
      </w:r>
      <w:r w:rsidRPr="00691B5C">
        <w:rPr>
          <w:rFonts w:cs="Arial"/>
          <w:szCs w:val="22"/>
        </w:rPr>
        <w:t xml:space="preserve"> (the “</w:t>
      </w:r>
      <w:r w:rsidRPr="00691B5C">
        <w:rPr>
          <w:rFonts w:cs="Arial"/>
          <w:b/>
          <w:szCs w:val="22"/>
        </w:rPr>
        <w:t>Key Personnel</w:t>
      </w:r>
      <w:r w:rsidRPr="00691B5C">
        <w:rPr>
          <w:rFonts w:cs="Arial"/>
          <w:szCs w:val="22"/>
        </w:rPr>
        <w:t>”).</w:t>
      </w:r>
    </w:p>
    <w:p w14:paraId="1723C617"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5C2B13E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5E7CC4">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5E7CC4">
        <w:rPr>
          <w:rFonts w:cs="Arial"/>
          <w:szCs w:val="22"/>
        </w:rPr>
        <w:t>Schedule 4</w:t>
      </w:r>
      <w:r w:rsidRPr="00691B5C">
        <w:rPr>
          <w:rFonts w:cs="Arial"/>
          <w:szCs w:val="22"/>
        </w:rPr>
        <w:fldChar w:fldCharType="end"/>
      </w:r>
      <w:r w:rsidRPr="00691B5C">
        <w:rPr>
          <w:rFonts w:cs="Arial"/>
          <w:szCs w:val="22"/>
        </w:rPr>
        <w:t>, notices are to be sent to the following addresses: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336"/>
      </w:tblGrid>
      <w:tr w:rsidR="0004199D" w:rsidRPr="0004199D" w14:paraId="54ABF9D9" w14:textId="77777777" w:rsidTr="3A4C689A">
        <w:tc>
          <w:tcPr>
            <w:tcW w:w="4845" w:type="dxa"/>
            <w:shd w:val="clear" w:color="auto" w:fill="auto"/>
          </w:tcPr>
          <w:p w14:paraId="40F73A5F"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5D0B54B5"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0004199D" w:rsidRPr="0004199D" w14:paraId="20E3144D" w14:textId="77777777" w:rsidTr="3A4C689A">
        <w:tc>
          <w:tcPr>
            <w:tcW w:w="4845" w:type="dxa"/>
            <w:shd w:val="clear" w:color="auto" w:fill="auto"/>
          </w:tcPr>
          <w:p w14:paraId="1E6ABDC1" w14:textId="14FD5737" w:rsidR="4A355A9E" w:rsidRDefault="4A355A9E" w:rsidP="3A4C689A">
            <w:pPr>
              <w:pStyle w:val="MRheading20"/>
              <w:numPr>
                <w:ilvl w:val="1"/>
                <w:numId w:val="0"/>
              </w:numPr>
              <w:spacing w:before="0" w:after="160" w:line="276" w:lineRule="auto"/>
              <w:rPr>
                <w:rFonts w:cs="Arial"/>
                <w:highlight w:val="yellow"/>
                <w:lang w:val="es-PE"/>
              </w:rPr>
            </w:pPr>
            <w:r w:rsidRPr="00651F44">
              <w:rPr>
                <w:rFonts w:cs="Arial"/>
                <w:szCs w:val="22"/>
                <w:highlight w:val="yellow"/>
                <w:lang w:val="es-MX"/>
              </w:rPr>
              <w:t xml:space="preserve">Av. </w:t>
            </w:r>
            <w:r w:rsidRPr="3A4C689A">
              <w:rPr>
                <w:rFonts w:cs="Arial"/>
                <w:szCs w:val="22"/>
                <w:highlight w:val="yellow"/>
                <w:lang w:val="es-PE"/>
              </w:rPr>
              <w:t>Pardo 434, Oficina 1703. Miraflores. Lima| Perú</w:t>
            </w:r>
          </w:p>
          <w:p w14:paraId="3D9EAA31" w14:textId="3B03239C" w:rsidR="00691B5C" w:rsidRPr="00723BF3" w:rsidRDefault="00691B5C" w:rsidP="3A4C689A">
            <w:pPr>
              <w:pStyle w:val="MRheading20"/>
              <w:numPr>
                <w:ilvl w:val="1"/>
                <w:numId w:val="0"/>
              </w:numPr>
              <w:spacing w:before="60" w:after="160" w:line="276" w:lineRule="auto"/>
              <w:jc w:val="left"/>
              <w:rPr>
                <w:rFonts w:cs="Arial"/>
                <w:highlight w:val="yellow"/>
              </w:rPr>
            </w:pPr>
            <w:r w:rsidRPr="3A4C689A">
              <w:rPr>
                <w:rFonts w:cs="Arial"/>
                <w:highlight w:val="yellow"/>
              </w:rPr>
              <w:lastRenderedPageBreak/>
              <w:t xml:space="preserve">Attention: </w:t>
            </w:r>
            <w:r w:rsidR="00FA4273">
              <w:rPr>
                <w:rFonts w:cs="Arial"/>
                <w:highlight w:val="yellow"/>
              </w:rPr>
              <w:t>William Machaca, Education Coordinator</w:t>
            </w:r>
          </w:p>
        </w:tc>
        <w:tc>
          <w:tcPr>
            <w:tcW w:w="4394" w:type="dxa"/>
            <w:shd w:val="clear" w:color="auto" w:fill="auto"/>
          </w:tcPr>
          <w:p w14:paraId="6BADA3A6" w14:textId="77777777" w:rsidR="00723BF3" w:rsidRPr="00270B18" w:rsidRDefault="00723BF3" w:rsidP="00723BF3">
            <w:pPr>
              <w:pStyle w:val="MRheading20"/>
              <w:numPr>
                <w:ilvl w:val="0"/>
                <w:numId w:val="0"/>
              </w:numPr>
              <w:spacing w:before="60" w:line="276" w:lineRule="auto"/>
              <w:rPr>
                <w:rFonts w:cs="Arial"/>
                <w:szCs w:val="22"/>
              </w:rPr>
            </w:pPr>
            <w:r w:rsidRPr="00270B18">
              <w:rPr>
                <w:rFonts w:cs="Arial"/>
                <w:szCs w:val="22"/>
              </w:rPr>
              <w:lastRenderedPageBreak/>
              <w:t>T</w:t>
            </w:r>
            <w:r>
              <w:rPr>
                <w:rFonts w:cs="Arial"/>
                <w:szCs w:val="22"/>
              </w:rPr>
              <w:t>BC</w:t>
            </w:r>
          </w:p>
          <w:p w14:paraId="3DEEC669" w14:textId="77777777" w:rsidR="00723BF3" w:rsidRDefault="00723BF3" w:rsidP="00723BF3">
            <w:pPr>
              <w:pStyle w:val="MRheading20"/>
              <w:numPr>
                <w:ilvl w:val="0"/>
                <w:numId w:val="0"/>
              </w:numPr>
              <w:spacing w:before="60" w:after="160" w:line="276" w:lineRule="auto"/>
              <w:rPr>
                <w:rFonts w:cs="Arial"/>
                <w:szCs w:val="22"/>
              </w:rPr>
            </w:pPr>
          </w:p>
          <w:p w14:paraId="3656B9AB" w14:textId="77777777" w:rsidR="00723BF3" w:rsidRDefault="00723BF3" w:rsidP="00723BF3">
            <w:pPr>
              <w:pStyle w:val="MRheading20"/>
              <w:numPr>
                <w:ilvl w:val="0"/>
                <w:numId w:val="0"/>
              </w:numPr>
              <w:spacing w:before="60" w:after="160" w:line="276" w:lineRule="auto"/>
              <w:rPr>
                <w:rFonts w:cs="Arial"/>
                <w:szCs w:val="22"/>
              </w:rPr>
            </w:pPr>
          </w:p>
          <w:p w14:paraId="2A135D9E" w14:textId="77777777" w:rsidR="00691B5C" w:rsidRPr="0004199D" w:rsidRDefault="00723BF3" w:rsidP="00723BF3">
            <w:pPr>
              <w:pStyle w:val="MRheading20"/>
              <w:numPr>
                <w:ilvl w:val="0"/>
                <w:numId w:val="0"/>
              </w:numPr>
              <w:spacing w:before="60" w:after="160" w:line="276" w:lineRule="auto"/>
              <w:rPr>
                <w:rFonts w:cs="Arial"/>
                <w:szCs w:val="22"/>
              </w:rPr>
            </w:pPr>
            <w:r w:rsidRPr="00723BF3">
              <w:rPr>
                <w:rFonts w:cs="Arial"/>
                <w:szCs w:val="22"/>
              </w:rPr>
              <w:t xml:space="preserve">Attention: </w:t>
            </w:r>
            <w:r>
              <w:rPr>
                <w:rFonts w:cs="Arial"/>
                <w:szCs w:val="22"/>
              </w:rPr>
              <w:t>TBC</w:t>
            </w:r>
          </w:p>
        </w:tc>
      </w:tr>
    </w:tbl>
    <w:p w14:paraId="4DCFDA0E"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Insurance Requirements</w:t>
      </w:r>
    </w:p>
    <w:p w14:paraId="2865A38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14:paraId="3FA8E946"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4024A408" w14:textId="77777777" w:rsidR="00691B5C" w:rsidRPr="00723BF3" w:rsidRDefault="00691B5C" w:rsidP="00691B5C">
      <w:pPr>
        <w:spacing w:before="60" w:after="160" w:line="276" w:lineRule="auto"/>
        <w:ind w:left="720"/>
        <w:rPr>
          <w:rFonts w:cs="Arial"/>
          <w:szCs w:val="22"/>
        </w:rPr>
      </w:pPr>
      <w:r w:rsidRPr="00691B5C">
        <w:rPr>
          <w:rFonts w:cs="Arial"/>
          <w:szCs w:val="22"/>
        </w:rPr>
        <w:t>Employer’s liability</w:t>
      </w:r>
      <w:r w:rsidRPr="00691B5C">
        <w:rPr>
          <w:rFonts w:cs="Arial"/>
          <w:b/>
          <w:szCs w:val="22"/>
        </w:rPr>
        <w:tab/>
      </w:r>
      <w:r w:rsidRPr="00691B5C">
        <w:rPr>
          <w:rFonts w:cs="Arial"/>
          <w:b/>
          <w:szCs w:val="22"/>
        </w:rPr>
        <w:tab/>
      </w:r>
      <w:r w:rsidRPr="00691B5C">
        <w:rPr>
          <w:rFonts w:cs="Arial"/>
          <w:b/>
          <w:szCs w:val="22"/>
        </w:rPr>
        <w:tab/>
      </w:r>
      <w:r w:rsidRPr="00723BF3">
        <w:rPr>
          <w:rFonts w:cs="Arial"/>
          <w:szCs w:val="22"/>
        </w:rPr>
        <w:t>£</w:t>
      </w:r>
      <w:r w:rsidR="00723BF3" w:rsidRPr="00723BF3">
        <w:rPr>
          <w:rFonts w:cs="Arial"/>
          <w:szCs w:val="22"/>
        </w:rPr>
        <w:t>5</w:t>
      </w:r>
      <w:r w:rsidRPr="00723BF3">
        <w:rPr>
          <w:rFonts w:cs="Arial"/>
          <w:szCs w:val="22"/>
        </w:rPr>
        <w:t>,000,000 per claim</w:t>
      </w:r>
    </w:p>
    <w:p w14:paraId="662976D9" w14:textId="77777777" w:rsidR="00691B5C" w:rsidRPr="00723BF3" w:rsidRDefault="00691B5C" w:rsidP="00691B5C">
      <w:pPr>
        <w:spacing w:before="60" w:after="160" w:line="276" w:lineRule="auto"/>
        <w:ind w:left="4275" w:hanging="3555"/>
        <w:rPr>
          <w:rFonts w:cs="Arial"/>
          <w:szCs w:val="22"/>
        </w:rPr>
      </w:pPr>
      <w:r w:rsidRPr="00723BF3">
        <w:rPr>
          <w:rFonts w:cs="Arial"/>
          <w:szCs w:val="22"/>
        </w:rPr>
        <w:t>Public liability</w:t>
      </w:r>
      <w:r w:rsidRPr="00723BF3">
        <w:rPr>
          <w:rFonts w:cs="Arial"/>
          <w:szCs w:val="22"/>
        </w:rPr>
        <w:tab/>
      </w:r>
      <w:r w:rsidRPr="00723BF3">
        <w:rPr>
          <w:rFonts w:cs="Arial"/>
          <w:szCs w:val="22"/>
        </w:rPr>
        <w:tab/>
        <w:t>£</w:t>
      </w:r>
      <w:r w:rsidR="00723BF3" w:rsidRPr="00723BF3">
        <w:rPr>
          <w:rFonts w:cs="Arial"/>
          <w:szCs w:val="22"/>
        </w:rPr>
        <w:t>1</w:t>
      </w:r>
      <w:r w:rsidRPr="00723BF3">
        <w:rPr>
          <w:rFonts w:cs="Arial"/>
          <w:szCs w:val="22"/>
        </w:rPr>
        <w:t>,000,000</w:t>
      </w:r>
      <w:r w:rsidR="00723BF3" w:rsidRPr="00723BF3">
        <w:rPr>
          <w:rFonts w:cs="Arial"/>
          <w:szCs w:val="22"/>
        </w:rPr>
        <w:t xml:space="preserve"> </w:t>
      </w:r>
      <w:r w:rsidRPr="00723BF3">
        <w:rPr>
          <w:rFonts w:cs="Arial"/>
          <w:szCs w:val="22"/>
        </w:rPr>
        <w:t>per occurrence and in the aggregate (annual total of all losses)</w:t>
      </w:r>
    </w:p>
    <w:p w14:paraId="33791539" w14:textId="77777777" w:rsidR="00691B5C" w:rsidRPr="00691B5C" w:rsidRDefault="00691B5C" w:rsidP="00691B5C">
      <w:pPr>
        <w:spacing w:before="60" w:after="160" w:line="276" w:lineRule="auto"/>
        <w:ind w:left="4275" w:hanging="3555"/>
        <w:rPr>
          <w:rFonts w:cs="Arial"/>
          <w:szCs w:val="22"/>
        </w:rPr>
      </w:pPr>
      <w:r w:rsidRPr="00723BF3">
        <w:rPr>
          <w:rFonts w:cs="Arial"/>
          <w:szCs w:val="22"/>
        </w:rPr>
        <w:t>Professional indemnity</w:t>
      </w:r>
      <w:r w:rsidRPr="00723BF3">
        <w:rPr>
          <w:rFonts w:cs="Arial"/>
          <w:szCs w:val="22"/>
        </w:rPr>
        <w:tab/>
      </w:r>
      <w:r w:rsidRPr="00723BF3">
        <w:rPr>
          <w:rFonts w:cs="Arial"/>
          <w:szCs w:val="22"/>
        </w:rPr>
        <w:tab/>
        <w:t>£1,000,000</w:t>
      </w:r>
      <w:r w:rsidRPr="00691B5C">
        <w:rPr>
          <w:rFonts w:cs="Arial"/>
          <w:szCs w:val="22"/>
        </w:rPr>
        <w:t xml:space="preserve"> per occurrence and in the aggregate (annual total of all losses)</w:t>
      </w:r>
    </w:p>
    <w:p w14:paraId="08041B4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70B5E086"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5F33E179" w14:textId="77777777" w:rsidR="00691B5C" w:rsidRP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723BF3">
        <w:rPr>
          <w:rFonts w:cs="Arial"/>
          <w:szCs w:val="22"/>
        </w:rPr>
        <w:t xml:space="preserve">9 a.m. to 5 p.m. local time Monday to Friday </w:t>
      </w:r>
      <w:r w:rsidR="00723BF3" w:rsidRPr="00723BF3">
        <w:rPr>
          <w:rFonts w:cs="Arial"/>
          <w:szCs w:val="22"/>
        </w:rPr>
        <w:t>or</w:t>
      </w:r>
      <w:r w:rsidRPr="00723BF3">
        <w:rPr>
          <w:rFonts w:cs="Arial"/>
          <w:szCs w:val="22"/>
        </w:rPr>
        <w:t xml:space="preserve"> </w:t>
      </w:r>
      <w:r w:rsidR="00723BF3" w:rsidRPr="00723BF3">
        <w:rPr>
          <w:rFonts w:cs="Arial"/>
          <w:szCs w:val="22"/>
        </w:rPr>
        <w:t>the equivalent in hours.</w:t>
      </w:r>
    </w:p>
    <w:p w14:paraId="45FB0818" w14:textId="77777777" w:rsidR="00691B5C" w:rsidRPr="00691B5C" w:rsidRDefault="00691B5C" w:rsidP="00691B5C">
      <w:pPr>
        <w:pStyle w:val="MRSchedule1"/>
        <w:spacing w:before="60" w:after="160" w:line="276" w:lineRule="auto"/>
        <w:ind w:left="0"/>
        <w:rPr>
          <w:rFonts w:cs="Arial"/>
          <w:bCs/>
          <w:szCs w:val="22"/>
        </w:rPr>
      </w:pPr>
      <w:bookmarkStart w:id="4" w:name="_Ref205893552"/>
      <w:r w:rsidRPr="00691B5C">
        <w:rPr>
          <w:rFonts w:cs="Arial"/>
          <w:szCs w:val="22"/>
        </w:rPr>
        <w:br w:type="page"/>
      </w:r>
      <w:bookmarkStart w:id="5" w:name="hw"/>
      <w:bookmarkStart w:id="6" w:name="_Toc207776233"/>
      <w:bookmarkStart w:id="7" w:name="Schedule2"/>
      <w:bookmarkEnd w:id="4"/>
      <w:bookmarkEnd w:id="5"/>
      <w:bookmarkEnd w:id="6"/>
      <w:bookmarkEnd w:id="7"/>
    </w:p>
    <w:p w14:paraId="79757166" w14:textId="77777777" w:rsidR="00691B5C" w:rsidRPr="00691B5C" w:rsidRDefault="00691B5C" w:rsidP="00691B5C">
      <w:pPr>
        <w:pStyle w:val="MRSchedule2"/>
        <w:spacing w:before="60" w:after="160" w:line="276" w:lineRule="auto"/>
        <w:rPr>
          <w:rFonts w:cs="Arial"/>
          <w:szCs w:val="22"/>
        </w:rPr>
      </w:pPr>
      <w:bookmarkStart w:id="8" w:name="_Toc207776234"/>
      <w:r w:rsidRPr="00691B5C">
        <w:rPr>
          <w:rFonts w:cs="Arial"/>
          <w:szCs w:val="22"/>
        </w:rPr>
        <w:lastRenderedPageBreak/>
        <w:t>Terms of Reference</w:t>
      </w:r>
    </w:p>
    <w:p w14:paraId="4184961B" w14:textId="77777777" w:rsidR="00691B5C" w:rsidRPr="00723BF3" w:rsidRDefault="00723BF3" w:rsidP="00723BF3">
      <w:pPr>
        <w:spacing w:before="60" w:after="160" w:line="276" w:lineRule="auto"/>
        <w:jc w:val="center"/>
        <w:rPr>
          <w:rFonts w:cs="Arial"/>
          <w:szCs w:val="22"/>
        </w:rPr>
      </w:pPr>
      <w:r w:rsidRPr="00723BF3">
        <w:rPr>
          <w:rFonts w:cs="Arial"/>
          <w:szCs w:val="22"/>
        </w:rPr>
        <w:t>TBC</w:t>
      </w:r>
    </w:p>
    <w:p w14:paraId="049F31CB" w14:textId="77777777" w:rsidR="00691B5C" w:rsidRPr="00691B5C" w:rsidRDefault="00691B5C" w:rsidP="00691B5C">
      <w:pPr>
        <w:pStyle w:val="MRSchedule1"/>
        <w:spacing w:before="60" w:after="160" w:line="276" w:lineRule="auto"/>
        <w:ind w:left="0"/>
        <w:rPr>
          <w:rFonts w:cs="Arial"/>
          <w:szCs w:val="22"/>
        </w:rPr>
      </w:pPr>
      <w:bookmarkStart w:id="9" w:name="_Ref266706327"/>
      <w:r w:rsidRPr="00691B5C">
        <w:rPr>
          <w:rFonts w:cs="Arial"/>
          <w:szCs w:val="22"/>
        </w:rPr>
        <w:br w:type="page"/>
      </w:r>
      <w:bookmarkEnd w:id="9"/>
    </w:p>
    <w:p w14:paraId="00D74502"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Charges</w:t>
      </w:r>
    </w:p>
    <w:p w14:paraId="74C95A6D"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00723BF3">
        <w:rPr>
          <w:rFonts w:cs="Arial"/>
          <w:b/>
          <w:szCs w:val="22"/>
        </w:rPr>
        <w:t>TBC</w:t>
      </w:r>
    </w:p>
    <w:p w14:paraId="7E33584C" w14:textId="77777777" w:rsidR="00691B5C" w:rsidRDefault="00691B5C" w:rsidP="00691B5C">
      <w:pPr>
        <w:spacing w:before="60" w:after="160" w:line="276" w:lineRule="auto"/>
        <w:rPr>
          <w:rFonts w:cs="Arial"/>
          <w:szCs w:val="22"/>
        </w:rPr>
      </w:pPr>
      <w:r w:rsidRPr="00691B5C">
        <w:rPr>
          <w:rFonts w:cs="Arial"/>
          <w:szCs w:val="22"/>
        </w:rPr>
        <w:t xml:space="preserve">The Charges set out above are an all inclusive fee except for those additional expenses specifically referred to below, and cover all preparation, report writing and all other work, which is carried out in </w:t>
      </w:r>
      <w:r w:rsidR="00723BF3" w:rsidRPr="00723BF3">
        <w:rPr>
          <w:rFonts w:cs="Arial"/>
          <w:szCs w:val="22"/>
        </w:rPr>
        <w:t>the Locations.</w:t>
      </w:r>
      <w:r w:rsidR="00723BF3">
        <w:rPr>
          <w:rFonts w:cs="Arial"/>
          <w:b/>
          <w:szCs w:val="22"/>
        </w:rPr>
        <w:t xml:space="preserve"> </w:t>
      </w:r>
      <w:r w:rsidRPr="00691B5C">
        <w:rPr>
          <w:rFonts w:cs="Arial"/>
          <w:szCs w:val="22"/>
        </w:rPr>
        <w:t xml:space="preserve">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0A3A08E6" w14:textId="77777777" w:rsidR="00723BF3" w:rsidRDefault="00723BF3" w:rsidP="00723BF3">
      <w:pPr>
        <w:tabs>
          <w:tab w:val="left" w:pos="426"/>
        </w:tabs>
        <w:spacing w:before="60" w:after="160" w:line="276" w:lineRule="auto"/>
        <w:rPr>
          <w:rFonts w:eastAsia="Calibri" w:cs="Arial"/>
          <w:b/>
          <w:szCs w:val="22"/>
          <w:lang w:eastAsia="en-US"/>
        </w:rPr>
      </w:pPr>
      <w:r>
        <w:rPr>
          <w:rFonts w:cs="Arial"/>
          <w:szCs w:val="22"/>
        </w:rPr>
        <w:t xml:space="preserve">In addition to the Charges, the British Council will reimburse the Supplier for expenses incurred as a direct consequence of the engagement in line with the British Council Travel Policy, subject to such expenses being agreed with the British Council separately in advance in writing, based on actual costs incurred and supported by original receipts. </w:t>
      </w:r>
    </w:p>
    <w:p w14:paraId="6020EA2B" w14:textId="77777777" w:rsidR="00723BF3" w:rsidRDefault="00723BF3" w:rsidP="00723BF3">
      <w:pPr>
        <w:tabs>
          <w:tab w:val="left" w:pos="426"/>
        </w:tabs>
        <w:spacing w:before="60" w:after="160" w:line="276" w:lineRule="auto"/>
        <w:rPr>
          <w:rFonts w:eastAsia="Calibri" w:cs="Arial"/>
          <w:b/>
          <w:szCs w:val="22"/>
          <w:lang w:eastAsia="en-US"/>
        </w:rPr>
      </w:pPr>
      <w:r>
        <w:rPr>
          <w:rFonts w:cs="Arial"/>
          <w:szCs w:val="22"/>
        </w:rPr>
        <w:t xml:space="preserve">The British Council will organise and pay for international travel to and from the Locations, accommodation and other related expenses. </w:t>
      </w:r>
    </w:p>
    <w:p w14:paraId="73929A11" w14:textId="77777777" w:rsidR="00723BF3" w:rsidRDefault="00723BF3" w:rsidP="00723BF3">
      <w:pPr>
        <w:spacing w:before="60" w:after="160" w:line="276" w:lineRule="auto"/>
        <w:rPr>
          <w:rFonts w:cs="Arial"/>
          <w:szCs w:val="22"/>
        </w:rPr>
      </w:pPr>
      <w:r>
        <w:rPr>
          <w:rFonts w:cs="Arial"/>
          <w:szCs w:val="22"/>
        </w:rPr>
        <w:t xml:space="preserve">Any additional expenses for the Supplier including travel to and from the airport should be mutually agreed in writing prior to departure.  </w:t>
      </w:r>
    </w:p>
    <w:p w14:paraId="54CF4D17" w14:textId="77777777" w:rsidR="00723BF3" w:rsidRDefault="00723BF3" w:rsidP="00723BF3">
      <w:pPr>
        <w:spacing w:before="120" w:after="60" w:line="276" w:lineRule="auto"/>
        <w:rPr>
          <w:rFonts w:cs="Arial"/>
          <w:szCs w:val="22"/>
        </w:rPr>
      </w:pPr>
      <w:r>
        <w:rPr>
          <w:rFonts w:cs="Arial"/>
          <w:szCs w:val="22"/>
        </w:rPr>
        <w:t xml:space="preserve">In the event that the Supplier has to book travel, the following guidance must be followed: </w:t>
      </w:r>
    </w:p>
    <w:p w14:paraId="359ADD9D" w14:textId="77777777" w:rsidR="00723BF3" w:rsidRDefault="00723BF3" w:rsidP="00723BF3">
      <w:pPr>
        <w:numPr>
          <w:ilvl w:val="0"/>
          <w:numId w:val="28"/>
        </w:numPr>
        <w:tabs>
          <w:tab w:val="left" w:pos="426"/>
        </w:tabs>
        <w:spacing w:before="120" w:after="60" w:line="276" w:lineRule="auto"/>
        <w:ind w:left="426" w:hanging="426"/>
        <w:rPr>
          <w:rFonts w:cs="Arial"/>
          <w:szCs w:val="22"/>
        </w:rPr>
      </w:pPr>
      <w:r>
        <w:rPr>
          <w:rFonts w:cs="Arial"/>
          <w:szCs w:val="22"/>
        </w:rPr>
        <w:t>Travel by rail should be by standard class;</w:t>
      </w:r>
    </w:p>
    <w:p w14:paraId="7D6EC38E" w14:textId="77777777" w:rsidR="00723BF3" w:rsidRDefault="00723BF3" w:rsidP="00723BF3">
      <w:pPr>
        <w:numPr>
          <w:ilvl w:val="0"/>
          <w:numId w:val="28"/>
        </w:numPr>
        <w:tabs>
          <w:tab w:val="left" w:pos="426"/>
        </w:tabs>
        <w:spacing w:before="120" w:after="60" w:line="276" w:lineRule="auto"/>
        <w:ind w:left="426" w:hanging="426"/>
        <w:rPr>
          <w:rFonts w:cs="Arial"/>
          <w:szCs w:val="22"/>
        </w:rPr>
      </w:pPr>
      <w:r>
        <w:rPr>
          <w:rFonts w:cs="Arial"/>
          <w:szCs w:val="22"/>
        </w:rPr>
        <w:t>The Supplier must plan and make bookings as far in advance of the date of travel as possible;</w:t>
      </w:r>
    </w:p>
    <w:p w14:paraId="12A7EEB9" w14:textId="77777777" w:rsidR="00723BF3" w:rsidRDefault="00723BF3" w:rsidP="00723BF3">
      <w:pPr>
        <w:numPr>
          <w:ilvl w:val="0"/>
          <w:numId w:val="28"/>
        </w:numPr>
        <w:tabs>
          <w:tab w:val="left" w:pos="426"/>
        </w:tabs>
        <w:spacing w:before="60" w:after="160" w:line="276" w:lineRule="auto"/>
        <w:ind w:left="426" w:hanging="426"/>
        <w:rPr>
          <w:rFonts w:cs="Arial"/>
          <w:szCs w:val="22"/>
        </w:rPr>
      </w:pPr>
      <w:r>
        <w:rPr>
          <w:rFonts w:cs="Arial"/>
          <w:szCs w:val="22"/>
        </w:rPr>
        <w:t xml:space="preserve">Safety should be the primary consideration when making transport bookings, with cost as the other main factor. </w:t>
      </w:r>
    </w:p>
    <w:p w14:paraId="78503CDB" w14:textId="77777777" w:rsidR="00723BF3" w:rsidRDefault="00723BF3" w:rsidP="00723BF3">
      <w:pPr>
        <w:tabs>
          <w:tab w:val="left" w:pos="426"/>
        </w:tabs>
        <w:spacing w:before="60" w:after="160" w:line="276" w:lineRule="auto"/>
        <w:rPr>
          <w:rFonts w:cs="Arial"/>
          <w:szCs w:val="22"/>
        </w:rPr>
      </w:pPr>
      <w:r>
        <w:rPr>
          <w:rFonts w:cs="Arial"/>
          <w:szCs w:val="22"/>
        </w:rPr>
        <w:t>The Charges and allowances for the Supplier will be reimbursed by the British Council and are fixed for the duration of the Agreement.</w:t>
      </w:r>
    </w:p>
    <w:p w14:paraId="53128261" w14:textId="77777777" w:rsidR="00723BF3" w:rsidRPr="00691B5C" w:rsidRDefault="00723BF3" w:rsidP="00691B5C">
      <w:pPr>
        <w:spacing w:before="60" w:after="160" w:line="276" w:lineRule="auto"/>
        <w:rPr>
          <w:rFonts w:cs="Arial"/>
          <w:szCs w:val="22"/>
        </w:rPr>
      </w:pPr>
    </w:p>
    <w:p w14:paraId="62486C05" w14:textId="77777777" w:rsidR="00691B5C" w:rsidRPr="00691B5C" w:rsidRDefault="00691B5C" w:rsidP="00691B5C">
      <w:pPr>
        <w:pStyle w:val="MRSchedule1"/>
        <w:spacing w:before="60" w:after="160" w:line="276" w:lineRule="auto"/>
        <w:ind w:left="0"/>
        <w:rPr>
          <w:rFonts w:cs="Arial"/>
          <w:szCs w:val="22"/>
        </w:rPr>
      </w:pPr>
      <w:bookmarkStart w:id="10" w:name="_Ref266464072"/>
      <w:r w:rsidRPr="00691B5C">
        <w:rPr>
          <w:rFonts w:cs="Arial"/>
          <w:szCs w:val="22"/>
        </w:rPr>
        <w:br w:type="page"/>
      </w:r>
      <w:bookmarkEnd w:id="10"/>
    </w:p>
    <w:p w14:paraId="10F4D379"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Standard Terms</w:t>
      </w:r>
    </w:p>
    <w:p w14:paraId="4F2BBB04" w14:textId="77777777" w:rsidR="00691B5C" w:rsidRPr="00691B5C" w:rsidRDefault="00691B5C" w:rsidP="007F114F">
      <w:pPr>
        <w:pStyle w:val="MRheading10"/>
        <w:numPr>
          <w:ilvl w:val="0"/>
          <w:numId w:val="20"/>
        </w:numPr>
        <w:spacing w:before="60" w:after="160" w:line="276" w:lineRule="auto"/>
        <w:rPr>
          <w:rFonts w:cs="Arial"/>
          <w:szCs w:val="22"/>
        </w:rPr>
      </w:pPr>
      <w:bookmarkStart w:id="11" w:name="_Toc207776101"/>
      <w:bookmarkStart w:id="12" w:name="_Toc207776249"/>
      <w:r w:rsidRPr="00691B5C">
        <w:rPr>
          <w:rFonts w:cs="Arial"/>
          <w:szCs w:val="22"/>
        </w:rPr>
        <w:t>Interpretation</w:t>
      </w:r>
      <w:bookmarkEnd w:id="11"/>
      <w:bookmarkEnd w:id="12"/>
    </w:p>
    <w:p w14:paraId="62DB0E5A"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91E12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26E4223F"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12C3FEC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5E7CC4">
        <w:rPr>
          <w:rFonts w:cs="Arial"/>
          <w:szCs w:val="22"/>
        </w:rPr>
        <w:t>3.1.1</w:t>
      </w:r>
      <w:r w:rsidRPr="00691B5C">
        <w:rPr>
          <w:rFonts w:cs="Arial"/>
          <w:szCs w:val="22"/>
        </w:rPr>
        <w:fldChar w:fldCharType="end"/>
      </w:r>
      <w:r w:rsidRPr="00691B5C">
        <w:rPr>
          <w:rFonts w:cs="Arial"/>
          <w:szCs w:val="22"/>
        </w:rPr>
        <w:t xml:space="preserve"> of these Standard Terms;</w:t>
      </w:r>
    </w:p>
    <w:p w14:paraId="50E50FFF"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12"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35F8E96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 </w:t>
      </w:r>
      <w:r w:rsidRPr="00691B5C">
        <w:rPr>
          <w:rFonts w:cs="Arial"/>
          <w:szCs w:val="22"/>
        </w:rPr>
        <w:fldChar w:fldCharType="begin"/>
      </w:r>
      <w:r w:rsidRPr="00691B5C">
        <w:rPr>
          <w:rFonts w:cs="Arial"/>
          <w:szCs w:val="22"/>
        </w:rPr>
        <w:instrText xml:space="preserve"> REF _Ref266706327 \r \h  \* MERGEFORMAT </w:instrText>
      </w:r>
      <w:r w:rsidRPr="00691B5C">
        <w:rPr>
          <w:rFonts w:cs="Arial"/>
          <w:szCs w:val="22"/>
        </w:rPr>
      </w:r>
      <w:r w:rsidRPr="00691B5C">
        <w:rPr>
          <w:rFonts w:cs="Arial"/>
          <w:szCs w:val="22"/>
        </w:rPr>
        <w:fldChar w:fldCharType="separate"/>
      </w:r>
      <w:r w:rsidR="005E7CC4">
        <w:rPr>
          <w:rFonts w:cs="Arial"/>
          <w:szCs w:val="22"/>
        </w:rPr>
        <w:t>Schedule 3</w:t>
      </w:r>
      <w:r w:rsidRPr="00691B5C">
        <w:rPr>
          <w:rFonts w:cs="Arial"/>
          <w:szCs w:val="22"/>
        </w:rPr>
        <w:fldChar w:fldCharType="end"/>
      </w:r>
      <w:r w:rsidRPr="00691B5C">
        <w:rPr>
          <w:rFonts w:cs="Arial"/>
          <w:szCs w:val="22"/>
        </w:rPr>
        <w:t>;</w:t>
      </w:r>
    </w:p>
    <w:p w14:paraId="79F89169"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0EB307A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2D23CD5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DC06F94"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Services;</w:t>
      </w:r>
    </w:p>
    <w:p w14:paraId="6C089FF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w:t>
      </w:r>
      <w:r w:rsidRPr="00691B5C">
        <w:rPr>
          <w:rFonts w:cs="Arial"/>
          <w:szCs w:val="22"/>
        </w:rPr>
        <w:lastRenderedPageBreak/>
        <w:t>information in any form including any web page, information portal, “blog”, online content or electronic file;</w:t>
      </w:r>
    </w:p>
    <w:p w14:paraId="7FC23BEC"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sub-contractor;</w:t>
      </w:r>
    </w:p>
    <w:p w14:paraId="1CA947A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or as otherwise notified to the </w:t>
      </w:r>
      <w:r w:rsidR="001E01FF">
        <w:rPr>
          <w:rFonts w:cs="Arial"/>
          <w:szCs w:val="22"/>
        </w:rPr>
        <w:t>Supplier</w:t>
      </w:r>
      <w:r w:rsidRPr="00691B5C">
        <w:rPr>
          <w:rFonts w:cs="Arial"/>
          <w:szCs w:val="22"/>
        </w:rPr>
        <w:t xml:space="preserve"> in writing;</w:t>
      </w:r>
    </w:p>
    <w:p w14:paraId="15C1C85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5B0DDF9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non discrimination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Services;</w:t>
      </w:r>
    </w:p>
    <w:p w14:paraId="66DA216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D9FF850"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w:t>
      </w:r>
    </w:p>
    <w:p w14:paraId="2DDFBF5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3A72B28C" w14:textId="77777777" w:rsidR="00691B5C" w:rsidRPr="00691B5C" w:rsidRDefault="00691B5C" w:rsidP="00691B5C">
      <w:pPr>
        <w:spacing w:before="60" w:after="160" w:line="276" w:lineRule="auto"/>
        <w:ind w:left="720"/>
        <w:rPr>
          <w:rFonts w:cs="Arial"/>
          <w:szCs w:val="22"/>
        </w:rPr>
      </w:pPr>
      <w:r w:rsidRPr="00691B5C">
        <w:rPr>
          <w:rFonts w:cs="Arial"/>
          <w:szCs w:val="22"/>
        </w:rPr>
        <w:t>(a)</w:t>
      </w:r>
      <w:r w:rsidRPr="00691B5C">
        <w:rPr>
          <w:rFonts w:cs="Arial"/>
          <w:szCs w:val="22"/>
        </w:rPr>
        <w:tab/>
        <w:t>the Code;</w:t>
      </w:r>
    </w:p>
    <w:p w14:paraId="2E855A06" w14:textId="77777777" w:rsidR="00691B5C" w:rsidRPr="00691B5C" w:rsidRDefault="00691B5C" w:rsidP="00691B5C">
      <w:pPr>
        <w:spacing w:before="60" w:after="160" w:line="276" w:lineRule="auto"/>
        <w:ind w:left="720"/>
        <w:rPr>
          <w:rFonts w:cs="Arial"/>
          <w:szCs w:val="22"/>
        </w:rPr>
      </w:pPr>
      <w:r w:rsidRPr="00691B5C">
        <w:rPr>
          <w:rFonts w:cs="Arial"/>
          <w:szCs w:val="22"/>
        </w:rPr>
        <w:t>(b)</w:t>
      </w:r>
      <w:r w:rsidRPr="00691B5C">
        <w:rPr>
          <w:rFonts w:cs="Arial"/>
          <w:szCs w:val="22"/>
        </w:rPr>
        <w:tab/>
        <w:t>the FOIA;  and</w:t>
      </w:r>
    </w:p>
    <w:p w14:paraId="6B16C612" w14:textId="77777777" w:rsidR="00691B5C" w:rsidRPr="00691B5C" w:rsidRDefault="00691B5C" w:rsidP="00691B5C">
      <w:pPr>
        <w:spacing w:before="60" w:after="160" w:line="276" w:lineRule="auto"/>
        <w:ind w:left="720"/>
        <w:rPr>
          <w:rFonts w:cs="Arial"/>
          <w:szCs w:val="22"/>
        </w:rPr>
      </w:pPr>
      <w:r w:rsidRPr="00691B5C">
        <w:rPr>
          <w:rFonts w:cs="Arial"/>
          <w:szCs w:val="22"/>
        </w:rPr>
        <w:t>(c)</w:t>
      </w:r>
      <w:r w:rsidRPr="00691B5C">
        <w:rPr>
          <w:rFonts w:cs="Arial"/>
          <w:szCs w:val="22"/>
        </w:rPr>
        <w:tab/>
        <w:t>the Environmental Information Regulations;</w:t>
      </w:r>
    </w:p>
    <w:p w14:paraId="1B5447F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1153DF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r w:rsidR="001E01FF">
        <w:rPr>
          <w:rFonts w:cs="Arial"/>
          <w:szCs w:val="22"/>
        </w:rPr>
        <w:t>Supplier</w:t>
      </w:r>
      <w:r w:rsidRPr="00691B5C">
        <w:rPr>
          <w:rFonts w:cs="Arial"/>
          <w:szCs w:val="22"/>
        </w:rPr>
        <w:t>;</w:t>
      </w:r>
    </w:p>
    <w:p w14:paraId="3C6ADD6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w:t>
      </w:r>
    </w:p>
    <w:p w14:paraId="50034A0D"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Project IPR</w:t>
      </w:r>
      <w:r w:rsidRPr="00691B5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1A944DD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 </w:t>
      </w:r>
    </w:p>
    <w:p w14:paraId="50FD33F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0E24B928"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003E6B65">
        <w:rPr>
          <w:rFonts w:cs="Arial"/>
          <w:szCs w:val="22"/>
        </w:rPr>
        <w:t>);</w:t>
      </w:r>
    </w:p>
    <w:p w14:paraId="185294A2"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2F0D8D38"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ly of the Services or the Goods;</w:t>
      </w:r>
    </w:p>
    <w:p w14:paraId="5A983F4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in the course of or in connection with the Project.</w:t>
      </w:r>
    </w:p>
    <w:p w14:paraId="3EF604C4" w14:textId="77777777" w:rsidR="00691B5C" w:rsidRPr="00691B5C" w:rsidRDefault="00691B5C" w:rsidP="00691B5C">
      <w:pPr>
        <w:pStyle w:val="MRheading20"/>
        <w:spacing w:before="60" w:after="160" w:line="276" w:lineRule="auto"/>
        <w:rPr>
          <w:rFonts w:cs="Arial"/>
          <w:szCs w:val="22"/>
        </w:rPr>
      </w:pPr>
      <w:bookmarkStart w:id="13" w:name="_Toc207776102"/>
      <w:bookmarkStart w:id="14" w:name="_Toc207776250"/>
      <w:r w:rsidRPr="00691B5C">
        <w:rPr>
          <w:rFonts w:cs="Arial"/>
          <w:szCs w:val="22"/>
        </w:rPr>
        <w:t>In this Agreement:</w:t>
      </w:r>
    </w:p>
    <w:p w14:paraId="248E06E8" w14:textId="77777777" w:rsidR="00691B5C" w:rsidRPr="00691B5C" w:rsidRDefault="00691B5C" w:rsidP="00691B5C">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0EFB2432"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A9C7824"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60F15A74" w14:textId="77777777" w:rsidR="00691B5C" w:rsidRPr="00691B5C" w:rsidRDefault="00691B5C" w:rsidP="00691B5C">
      <w:pPr>
        <w:pStyle w:val="MRheading30"/>
        <w:spacing w:before="60" w:after="160" w:line="276" w:lineRule="auto"/>
        <w:rPr>
          <w:rFonts w:cs="Arial"/>
          <w:szCs w:val="22"/>
        </w:rPr>
      </w:pPr>
      <w:bookmarkStart w:id="15"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5E7CC4">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15"/>
    </w:p>
    <w:p w14:paraId="13C9FA48" w14:textId="77777777" w:rsidR="00691B5C" w:rsidRPr="00691B5C" w:rsidRDefault="00691B5C" w:rsidP="00691B5C">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4B6F66B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54ECBFDD" w14:textId="77777777" w:rsidR="00691B5C" w:rsidRPr="00691B5C" w:rsidRDefault="00691B5C" w:rsidP="00691B5C">
      <w:pPr>
        <w:pStyle w:val="MRheading40"/>
        <w:spacing w:before="60" w:after="160" w:line="276" w:lineRule="auto"/>
        <w:rPr>
          <w:rFonts w:cs="Arial"/>
          <w:szCs w:val="22"/>
        </w:rPr>
      </w:pPr>
      <w:r w:rsidRPr="00691B5C">
        <w:rPr>
          <w:rFonts w:cs="Arial"/>
          <w:szCs w:val="22"/>
        </w:rPr>
        <w:lastRenderedPageBreak/>
        <w:t>the business, operations, customers, assets, Intellectual Property Rights, agreements or other property of the British Council,</w:t>
      </w:r>
    </w:p>
    <w:p w14:paraId="27A8F1D7" w14:textId="77777777"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1721B76D" w14:textId="77777777" w:rsidR="00691B5C" w:rsidRPr="00691B5C" w:rsidRDefault="00691B5C" w:rsidP="00691B5C">
      <w:pPr>
        <w:pStyle w:val="MRheading30"/>
        <w:spacing w:before="60" w:after="160" w:line="276" w:lineRule="auto"/>
        <w:rPr>
          <w:rFonts w:cs="Arial"/>
          <w:szCs w:val="22"/>
        </w:rPr>
      </w:pPr>
      <w:bookmarkStart w:id="16" w:name="_Ref389378533"/>
      <w:r w:rsidRPr="00691B5C">
        <w:rPr>
          <w:rFonts w:cs="Arial"/>
          <w:szCs w:val="22"/>
        </w:rPr>
        <w:t>obligations of the British Council shall not be interpreted as obligations of any of the British Council Entities.</w:t>
      </w:r>
      <w:bookmarkEnd w:id="16"/>
    </w:p>
    <w:p w14:paraId="5DB6E26D" w14:textId="77777777" w:rsidR="00691B5C" w:rsidRPr="00691B5C" w:rsidRDefault="001E01FF" w:rsidP="00691B5C">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13"/>
      <w:bookmarkEnd w:id="14"/>
    </w:p>
    <w:p w14:paraId="7B5369A1" w14:textId="77777777" w:rsidR="00691B5C" w:rsidRPr="00554310" w:rsidRDefault="00554310" w:rsidP="00554310">
      <w:pPr>
        <w:pStyle w:val="MRheading20"/>
        <w:spacing w:before="60" w:after="160" w:line="276" w:lineRule="auto"/>
      </w:pPr>
      <w:r>
        <w:t>The Supplier shall provide the Services and the Goods and deliver the Deliverables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5E7CC4">
        <w:t>Schedule 1</w:t>
      </w:r>
      <w:r>
        <w:fldChar w:fldCharType="end"/>
      </w:r>
      <w:r>
        <w:t>) and the Terms of Reference (</w:t>
      </w:r>
      <w:r>
        <w:fldChar w:fldCharType="begin"/>
      </w:r>
      <w:r>
        <w:instrText xml:space="preserve"> REF _Ref205893552 \r \h </w:instrText>
      </w:r>
      <w:r>
        <w:fldChar w:fldCharType="separate"/>
      </w:r>
      <w:r w:rsidR="005E7CC4">
        <w:t>Schedule 2</w:t>
      </w:r>
      <w:r>
        <w:fldChar w:fldCharType="end"/>
      </w:r>
      <w:r>
        <w:t>)), the reasonable instructions of the British Council and all applicable regulations and legislation in force from time to time.  The Supplier shall allocate sufficient resources to enable it to comply with its obligations under this Agreement.</w:t>
      </w:r>
    </w:p>
    <w:p w14:paraId="33719E5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1D647D2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6067E1E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3868257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2EFFEB01" w14:textId="77777777" w:rsidR="00691B5C" w:rsidRPr="00691B5C" w:rsidRDefault="00691B5C" w:rsidP="00691B5C">
      <w:pPr>
        <w:pStyle w:val="MRheading20"/>
        <w:spacing w:before="60" w:after="160" w:line="276" w:lineRule="auto"/>
        <w:rPr>
          <w:rFonts w:cs="Arial"/>
          <w:szCs w:val="22"/>
        </w:rPr>
      </w:pPr>
      <w:bookmarkStart w:id="17"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17"/>
      <w:r w:rsidRPr="00691B5C">
        <w:rPr>
          <w:rFonts w:cs="Arial"/>
          <w:szCs w:val="22"/>
        </w:rPr>
        <w:t xml:space="preserve">, </w:t>
      </w:r>
      <w:bookmarkStart w:id="18" w:name="a214330"/>
      <w:bookmarkStart w:id="19" w:name="_Ref172431786"/>
      <w:r w:rsidRPr="00691B5C">
        <w:rPr>
          <w:rFonts w:cs="Arial"/>
          <w:szCs w:val="22"/>
        </w:rPr>
        <w:t>subject to the prior written approval of the British Council, appoint or, at the written request of the British Council, replace without delay</w:t>
      </w:r>
      <w:bookmarkEnd w:id="18"/>
      <w:bookmarkEnd w:id="19"/>
      <w:r w:rsidRPr="00691B5C">
        <w:rPr>
          <w:rFonts w:cs="Arial"/>
          <w:szCs w:val="22"/>
        </w:rPr>
        <w:t xml:space="preserve"> any member of the </w:t>
      </w:r>
      <w:r w:rsidR="001E01FF">
        <w:rPr>
          <w:rFonts w:cs="Arial"/>
          <w:szCs w:val="22"/>
        </w:rPr>
        <w:t>Supplier</w:t>
      </w:r>
      <w:r w:rsidRPr="00691B5C">
        <w:rPr>
          <w:rFonts w:cs="Arial"/>
          <w:szCs w:val="22"/>
        </w:rPr>
        <w:t xml:space="preserve">'s Team, each such member to be suitably skilled, experienced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1DB63E19"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711C0E01" w14:textId="77777777" w:rsidR="00691B5C" w:rsidRPr="00691B5C" w:rsidRDefault="00691B5C" w:rsidP="00691B5C">
      <w:pPr>
        <w:pStyle w:val="MRheading30"/>
        <w:spacing w:before="60" w:after="160" w:line="276" w:lineRule="auto"/>
        <w:rPr>
          <w:rFonts w:cs="Arial"/>
          <w:szCs w:val="22"/>
        </w:rPr>
      </w:pPr>
      <w:bookmarkStart w:id="20" w:name="_Ref205894480"/>
      <w:bookmarkStart w:id="21"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22" w:name="_Ref172690328"/>
      <w:bookmarkEnd w:id="20"/>
      <w:r w:rsidRPr="00691B5C">
        <w:rPr>
          <w:rFonts w:cs="Arial"/>
          <w:szCs w:val="22"/>
        </w:rPr>
        <w:t xml:space="preserve"> and any </w:t>
      </w:r>
      <w:r w:rsidRPr="00691B5C">
        <w:rPr>
          <w:rFonts w:cs="Arial"/>
          <w:szCs w:val="22"/>
        </w:rPr>
        <w:lastRenderedPageBreak/>
        <w:t xml:space="preserve">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2"/>
      <w:r w:rsidRPr="00691B5C">
        <w:rPr>
          <w:rFonts w:cs="Arial"/>
          <w:szCs w:val="22"/>
        </w:rPr>
        <w:t>and/</w:t>
      </w:r>
      <w:bookmarkEnd w:id="21"/>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1F66D48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6FD132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46F673C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2A56B19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1E7EAB7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7CAEE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0591B4E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1A2377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w:t>
      </w:r>
      <w:r w:rsidRPr="00691B5C">
        <w:rPr>
          <w:rFonts w:cs="Arial"/>
          <w:szCs w:val="22"/>
        </w:rPr>
        <w:lastRenderedPageBreak/>
        <w:t>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75B3B3F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4940426A" w14:textId="77777777" w:rsidR="00691B5C" w:rsidRPr="00691B5C" w:rsidRDefault="00691B5C" w:rsidP="00691B5C">
      <w:pPr>
        <w:pStyle w:val="MRheading10"/>
        <w:spacing w:before="60" w:after="160" w:line="276" w:lineRule="auto"/>
        <w:rPr>
          <w:rFonts w:cs="Arial"/>
          <w:szCs w:val="22"/>
        </w:rPr>
      </w:pPr>
      <w:bookmarkStart w:id="23" w:name="_Toc207776103"/>
      <w:bookmarkStart w:id="24" w:name="_Toc207776251"/>
      <w:r w:rsidRPr="00691B5C">
        <w:rPr>
          <w:rFonts w:cs="Arial"/>
          <w:szCs w:val="22"/>
        </w:rPr>
        <w:t>The British Council’s Obligations</w:t>
      </w:r>
      <w:bookmarkEnd w:id="23"/>
      <w:bookmarkEnd w:id="24"/>
    </w:p>
    <w:p w14:paraId="1FD59610"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41385631" w14:textId="77777777" w:rsidR="00691B5C" w:rsidRPr="00691B5C" w:rsidRDefault="00691B5C" w:rsidP="00691B5C">
      <w:pPr>
        <w:pStyle w:val="MRheading30"/>
        <w:spacing w:before="60" w:after="160" w:line="276" w:lineRule="auto"/>
        <w:rPr>
          <w:rFonts w:cs="Arial"/>
          <w:szCs w:val="22"/>
        </w:rPr>
      </w:pPr>
      <w:bookmarkStart w:id="25"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25"/>
      <w:r w:rsidRPr="00691B5C">
        <w:rPr>
          <w:rFonts w:cs="Arial"/>
          <w:szCs w:val="22"/>
        </w:rPr>
        <w:t xml:space="preserve"> and</w:t>
      </w:r>
    </w:p>
    <w:p w14:paraId="79783056" w14:textId="77777777" w:rsidR="00691B5C" w:rsidRPr="00691B5C" w:rsidRDefault="00691B5C" w:rsidP="00691B5C">
      <w:pPr>
        <w:pStyle w:val="MRheading30"/>
        <w:spacing w:before="60" w:after="160" w:line="276" w:lineRule="auto"/>
        <w:rPr>
          <w:rFonts w:cs="Arial"/>
          <w:szCs w:val="22"/>
        </w:rPr>
      </w:pPr>
      <w:bookmarkStart w:id="26"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26"/>
      <w:r w:rsidRPr="00691B5C">
        <w:rPr>
          <w:rFonts w:cs="Arial"/>
          <w:szCs w:val="22"/>
        </w:rPr>
        <w:t xml:space="preserve"> and/or in the country in which the Services are being provided from time to time during the Term. </w:t>
      </w:r>
    </w:p>
    <w:p w14:paraId="45F2795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59034E6F" w14:textId="77777777" w:rsidR="00691B5C" w:rsidRPr="00691B5C" w:rsidRDefault="00691B5C" w:rsidP="00691B5C">
      <w:pPr>
        <w:pStyle w:val="MRheading30"/>
        <w:spacing w:before="60" w:after="160" w:line="276" w:lineRule="auto"/>
        <w:rPr>
          <w:rFonts w:cs="Arial"/>
          <w:szCs w:val="22"/>
        </w:rPr>
      </w:pPr>
      <w:bookmarkStart w:id="27"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27"/>
    </w:p>
    <w:p w14:paraId="0628C28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1B9FBFDD" w14:textId="77777777" w:rsidR="00691B5C" w:rsidRPr="00691B5C" w:rsidRDefault="00691B5C" w:rsidP="00691B5C">
      <w:pPr>
        <w:pStyle w:val="MRheading10"/>
        <w:spacing w:before="60" w:after="160" w:line="276" w:lineRule="auto"/>
        <w:rPr>
          <w:rFonts w:cs="Arial"/>
          <w:szCs w:val="22"/>
        </w:rPr>
      </w:pPr>
      <w:bookmarkStart w:id="28" w:name="a267819"/>
      <w:bookmarkStart w:id="29" w:name="_Toc242083844"/>
      <w:bookmarkStart w:id="30" w:name="_Toc244068925"/>
      <w:r w:rsidRPr="00691B5C">
        <w:rPr>
          <w:rFonts w:cs="Arial"/>
          <w:szCs w:val="22"/>
        </w:rPr>
        <w:t>Status</w:t>
      </w:r>
      <w:bookmarkEnd w:id="28"/>
      <w:bookmarkEnd w:id="29"/>
      <w:bookmarkEnd w:id="30"/>
    </w:p>
    <w:p w14:paraId="7D858B3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2A27B1F7" w14:textId="77777777" w:rsidR="00691B5C" w:rsidRPr="00691B5C" w:rsidRDefault="00691B5C" w:rsidP="00691B5C">
      <w:pPr>
        <w:pStyle w:val="MRheading20"/>
        <w:spacing w:before="60" w:after="160" w:line="276" w:lineRule="auto"/>
        <w:rPr>
          <w:rFonts w:cs="Arial"/>
          <w:szCs w:val="22"/>
        </w:rPr>
      </w:pPr>
      <w:bookmarkStart w:id="31"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1"/>
    </w:p>
    <w:p w14:paraId="0DFBEFA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w:t>
      </w:r>
      <w:r w:rsidRPr="00691B5C">
        <w:rPr>
          <w:rFonts w:cs="Arial"/>
          <w:szCs w:val="22"/>
        </w:rPr>
        <w:lastRenderedPageBreak/>
        <w:t>liability, deduction, contribution, assessment or claim other than where the latter arise out of the British Council’s negligence or wilful default; and</w:t>
      </w:r>
    </w:p>
    <w:p w14:paraId="611F7A94"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2867AD4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5E7CC4">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610BBC1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4D78094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4C20AFBB" w14:textId="77777777" w:rsidR="00691B5C" w:rsidRPr="00691B5C" w:rsidRDefault="00691B5C" w:rsidP="00691B5C">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639CF91D" w14:textId="77777777" w:rsidR="00691B5C" w:rsidRPr="00691B5C" w:rsidRDefault="00691B5C" w:rsidP="00691B5C">
      <w:pPr>
        <w:pStyle w:val="MRheading10"/>
        <w:spacing w:before="60" w:after="160" w:line="276" w:lineRule="auto"/>
        <w:rPr>
          <w:rFonts w:cs="Arial"/>
          <w:szCs w:val="22"/>
        </w:rPr>
      </w:pPr>
      <w:bookmarkStart w:id="32" w:name="_Toc207776105"/>
      <w:bookmarkStart w:id="33" w:name="_Toc207776253"/>
      <w:bookmarkStart w:id="34" w:name="_Ref262222645"/>
      <w:r w:rsidRPr="00691B5C">
        <w:rPr>
          <w:rFonts w:cs="Arial"/>
          <w:szCs w:val="22"/>
        </w:rPr>
        <w:t>Price and Payment</w:t>
      </w:r>
      <w:bookmarkEnd w:id="32"/>
      <w:bookmarkEnd w:id="33"/>
      <w:bookmarkEnd w:id="34"/>
    </w:p>
    <w:p w14:paraId="0E663CE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15FB727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12D50B57"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3F19AB2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423AD4C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5E7CC4">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5E7CC4">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7C4F8100" w14:textId="77777777" w:rsidR="00691B5C" w:rsidRPr="00691B5C" w:rsidRDefault="00691B5C" w:rsidP="00691B5C">
      <w:pPr>
        <w:pStyle w:val="MRheading20"/>
        <w:spacing w:before="60" w:after="160" w:line="276" w:lineRule="auto"/>
        <w:rPr>
          <w:rFonts w:cs="Arial"/>
          <w:szCs w:val="22"/>
        </w:rPr>
      </w:pPr>
      <w:bookmarkStart w:id="35"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35"/>
    </w:p>
    <w:p w14:paraId="0FE4648B" w14:textId="77777777" w:rsidR="00691B5C" w:rsidRPr="00691B5C" w:rsidRDefault="00691B5C" w:rsidP="00691B5C">
      <w:pPr>
        <w:pStyle w:val="MRheading20"/>
        <w:spacing w:before="60" w:after="160" w:line="276" w:lineRule="auto"/>
        <w:rPr>
          <w:rFonts w:cs="Arial"/>
          <w:szCs w:val="22"/>
        </w:rPr>
      </w:pPr>
      <w:bookmarkStart w:id="36"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sidR="001E01FF">
        <w:rPr>
          <w:rFonts w:cs="Arial"/>
          <w:szCs w:val="22"/>
        </w:rPr>
        <w:t>Supplier</w:t>
      </w:r>
      <w:r w:rsidRPr="00691B5C">
        <w:rPr>
          <w:rFonts w:cs="Arial"/>
          <w:szCs w:val="22"/>
        </w:rPr>
        <w:t>.</w:t>
      </w:r>
      <w:bookmarkEnd w:id="36"/>
    </w:p>
    <w:p w14:paraId="46A82F58" w14:textId="77777777" w:rsidR="00691B5C" w:rsidRPr="00691B5C" w:rsidRDefault="00691B5C" w:rsidP="00691B5C">
      <w:pPr>
        <w:pStyle w:val="MRheading20"/>
        <w:spacing w:before="60" w:after="160" w:line="276" w:lineRule="auto"/>
        <w:rPr>
          <w:rFonts w:cs="Arial"/>
          <w:szCs w:val="22"/>
        </w:rPr>
      </w:pPr>
      <w:bookmarkStart w:id="37"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37"/>
    </w:p>
    <w:p w14:paraId="1452B4C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308AB374" w14:textId="77777777" w:rsidR="00691B5C" w:rsidRPr="00691B5C" w:rsidRDefault="00691B5C" w:rsidP="00691B5C">
      <w:pPr>
        <w:pStyle w:val="MRheading10"/>
        <w:spacing w:before="60" w:after="160" w:line="276" w:lineRule="auto"/>
        <w:rPr>
          <w:rFonts w:cs="Arial"/>
          <w:szCs w:val="22"/>
        </w:rPr>
      </w:pPr>
      <w:bookmarkStart w:id="38" w:name="_Toc207776106"/>
      <w:bookmarkStart w:id="39" w:name="_Toc207776254"/>
      <w:r w:rsidRPr="00691B5C">
        <w:rPr>
          <w:rFonts w:cs="Arial"/>
          <w:szCs w:val="22"/>
        </w:rPr>
        <w:t>Quality and Performance</w:t>
      </w:r>
      <w:bookmarkEnd w:id="38"/>
      <w:bookmarkEnd w:id="39"/>
    </w:p>
    <w:p w14:paraId="78F81F6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3E58F21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t>
      </w:r>
      <w:r w:rsidRPr="00691B5C">
        <w:rPr>
          <w:rFonts w:cs="Arial"/>
          <w:szCs w:val="22"/>
        </w:rPr>
        <w:lastRenderedPageBreak/>
        <w:t xml:space="preserve">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690DF02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65A8553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4279C12F" w14:textId="77777777" w:rsidR="00691B5C" w:rsidRPr="00691B5C" w:rsidRDefault="00691B5C" w:rsidP="00691B5C">
      <w:pPr>
        <w:pStyle w:val="MRheading20"/>
        <w:spacing w:before="60" w:after="160" w:line="276" w:lineRule="auto"/>
        <w:rPr>
          <w:rFonts w:cs="Arial"/>
          <w:szCs w:val="22"/>
        </w:rPr>
      </w:pPr>
      <w:r w:rsidRPr="00691B5C">
        <w:rPr>
          <w:rFonts w:cs="Arial"/>
          <w:szCs w:val="22"/>
        </w:rPr>
        <w:t>Ownership of Goods shall pass to the British Council on delivery, payment or part payment, whichever is the first to occur.</w:t>
      </w:r>
    </w:p>
    <w:p w14:paraId="409D9652" w14:textId="77777777" w:rsidR="00691B5C" w:rsidRPr="00691B5C" w:rsidRDefault="00691B5C" w:rsidP="00691B5C">
      <w:pPr>
        <w:pStyle w:val="MRheading10"/>
        <w:spacing w:before="60" w:after="160" w:line="276" w:lineRule="auto"/>
        <w:rPr>
          <w:rFonts w:cs="Arial"/>
          <w:szCs w:val="22"/>
        </w:rPr>
      </w:pPr>
      <w:bookmarkStart w:id="40" w:name="_Ref172367282"/>
      <w:bookmarkStart w:id="41" w:name="_Toc207776107"/>
      <w:bookmarkStart w:id="42" w:name="_Toc207776255"/>
      <w:r w:rsidRPr="00691B5C">
        <w:rPr>
          <w:rFonts w:cs="Arial"/>
          <w:szCs w:val="22"/>
        </w:rPr>
        <w:t>Change Control</w:t>
      </w:r>
      <w:bookmarkEnd w:id="40"/>
      <w:bookmarkEnd w:id="41"/>
      <w:bookmarkEnd w:id="42"/>
    </w:p>
    <w:p w14:paraId="7E4027BF" w14:textId="77777777" w:rsidR="00691B5C" w:rsidRPr="00691B5C" w:rsidRDefault="00691B5C" w:rsidP="00691B5C">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1FFCA34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0EC131DB" w14:textId="77777777" w:rsidR="00691B5C" w:rsidRPr="00691B5C" w:rsidRDefault="00691B5C" w:rsidP="00691B5C">
      <w:pPr>
        <w:pStyle w:val="MRheading30"/>
        <w:spacing w:before="60" w:after="160" w:line="276" w:lineRule="auto"/>
        <w:rPr>
          <w:rFonts w:cs="Arial"/>
          <w:szCs w:val="22"/>
        </w:rPr>
      </w:pPr>
      <w:bookmarkStart w:id="43" w:name="_Ref172690486"/>
      <w:r w:rsidRPr="00691B5C">
        <w:rPr>
          <w:rFonts w:cs="Arial"/>
          <w:szCs w:val="22"/>
        </w:rPr>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43"/>
    </w:p>
    <w:p w14:paraId="39E6F77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change; </w:t>
      </w:r>
    </w:p>
    <w:p w14:paraId="0EEBD150"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3433CDBA"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3808D9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2C1D1BF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14:paraId="370DE41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w:t>
      </w:r>
      <w:r w:rsidRPr="00691B5C">
        <w:rPr>
          <w:rFonts w:cs="Arial"/>
          <w:szCs w:val="22"/>
        </w:rPr>
        <w:lastRenderedPageBreak/>
        <w:t xml:space="preserve">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14:paraId="325AFBA0" w14:textId="77777777" w:rsidR="00691B5C" w:rsidRPr="00691B5C" w:rsidRDefault="00691B5C" w:rsidP="00691B5C">
      <w:pPr>
        <w:pStyle w:val="MRheading10"/>
        <w:spacing w:before="60" w:after="160" w:line="276" w:lineRule="auto"/>
        <w:rPr>
          <w:rFonts w:cs="Arial"/>
          <w:kern w:val="20"/>
          <w:szCs w:val="22"/>
        </w:rPr>
      </w:pPr>
      <w:bookmarkStart w:id="44" w:name="_Toc207776108"/>
      <w:bookmarkStart w:id="45" w:name="_Toc207776256"/>
      <w:bookmarkStart w:id="46" w:name="_Ref261615495"/>
      <w:r w:rsidRPr="00691B5C">
        <w:rPr>
          <w:rFonts w:cs="Arial"/>
          <w:kern w:val="20"/>
          <w:szCs w:val="22"/>
        </w:rPr>
        <w:t>Premises</w:t>
      </w:r>
      <w:bookmarkEnd w:id="44"/>
      <w:bookmarkEnd w:id="45"/>
      <w:bookmarkEnd w:id="46"/>
    </w:p>
    <w:p w14:paraId="7BC3C3DE" w14:textId="77777777" w:rsidR="00691B5C" w:rsidRPr="00691B5C" w:rsidRDefault="00691B5C" w:rsidP="00691B5C">
      <w:pPr>
        <w:pStyle w:val="MRheading20"/>
        <w:spacing w:before="60" w:after="160" w:line="276" w:lineRule="auto"/>
        <w:rPr>
          <w:rFonts w:cs="Arial"/>
          <w:kern w:val="20"/>
          <w:szCs w:val="22"/>
        </w:rPr>
      </w:pPr>
      <w:bookmarkStart w:id="47"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47"/>
    </w:p>
    <w:p w14:paraId="6F373596" w14:textId="77777777" w:rsidR="00691B5C" w:rsidRPr="00691B5C" w:rsidRDefault="00691B5C" w:rsidP="00691B5C">
      <w:pPr>
        <w:pStyle w:val="MRheading20"/>
        <w:spacing w:before="60" w:after="160" w:line="276" w:lineRule="auto"/>
        <w:rPr>
          <w:rFonts w:cs="Arial"/>
          <w:kern w:val="20"/>
          <w:szCs w:val="22"/>
        </w:rPr>
      </w:pPr>
      <w:bookmarkStart w:id="48"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as a result of this clause.</w:t>
      </w:r>
      <w:bookmarkEnd w:id="48"/>
    </w:p>
    <w:p w14:paraId="3F1819FE" w14:textId="77777777" w:rsidR="00691B5C" w:rsidRPr="00691B5C" w:rsidRDefault="00691B5C" w:rsidP="00691B5C">
      <w:pPr>
        <w:pStyle w:val="MRheading10"/>
        <w:spacing w:before="60" w:after="160" w:line="276" w:lineRule="auto"/>
        <w:rPr>
          <w:rFonts w:cs="Arial"/>
          <w:kern w:val="20"/>
          <w:szCs w:val="22"/>
        </w:rPr>
      </w:pPr>
      <w:bookmarkStart w:id="49" w:name="_Toc207776109"/>
      <w:bookmarkStart w:id="50" w:name="_Toc207776257"/>
      <w:r w:rsidRPr="00691B5C">
        <w:rPr>
          <w:rFonts w:cs="Arial"/>
          <w:kern w:val="20"/>
          <w:szCs w:val="22"/>
        </w:rPr>
        <w:t xml:space="preserve">The </w:t>
      </w:r>
      <w:bookmarkEnd w:id="49"/>
      <w:bookmarkEnd w:id="50"/>
      <w:r w:rsidRPr="00691B5C">
        <w:rPr>
          <w:rFonts w:cs="Arial"/>
          <w:kern w:val="20"/>
          <w:szCs w:val="22"/>
        </w:rPr>
        <w:t>Equipment</w:t>
      </w:r>
    </w:p>
    <w:p w14:paraId="00E47C5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44ABEB0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4797D2CA" w14:textId="77777777" w:rsidR="00691B5C" w:rsidRPr="00691B5C" w:rsidRDefault="00691B5C" w:rsidP="00691B5C">
      <w:pPr>
        <w:pStyle w:val="MRheading20"/>
        <w:spacing w:before="60" w:after="160" w:line="276" w:lineRule="auto"/>
        <w:rPr>
          <w:rFonts w:cs="Arial"/>
          <w:kern w:val="20"/>
          <w:szCs w:val="22"/>
        </w:rPr>
      </w:pPr>
      <w:bookmarkStart w:id="51"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all of the British Council Equipment in good and serviceable condition (fair wear and tear excepted) and shall only use the British Council Equipment in accordance with the British Council Equipment manufacturers’ recommendations.</w:t>
      </w:r>
      <w:bookmarkEnd w:id="51"/>
    </w:p>
    <w:p w14:paraId="6C2532D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54510AD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76DA311D" w14:textId="77777777" w:rsidR="00691B5C" w:rsidRPr="00691B5C" w:rsidRDefault="00691B5C" w:rsidP="00691B5C">
      <w:pPr>
        <w:pStyle w:val="MRheading10"/>
        <w:spacing w:before="60" w:after="160" w:line="276" w:lineRule="auto"/>
        <w:rPr>
          <w:rFonts w:cs="Arial"/>
          <w:kern w:val="20"/>
          <w:szCs w:val="22"/>
        </w:rPr>
      </w:pPr>
      <w:bookmarkStart w:id="52" w:name="_Toc207776110"/>
      <w:bookmarkStart w:id="53" w:name="_Toc207776258"/>
      <w:bookmarkStart w:id="54" w:name="_Ref261618226"/>
      <w:bookmarkStart w:id="55" w:name="_Ref387838130"/>
      <w:bookmarkStart w:id="56" w:name="_Ref387838142"/>
      <w:bookmarkStart w:id="57" w:name="_Ref394389238"/>
      <w:bookmarkStart w:id="58" w:name="_Ref394389249"/>
      <w:r w:rsidRPr="00691B5C">
        <w:rPr>
          <w:rFonts w:cs="Arial"/>
          <w:szCs w:val="22"/>
        </w:rPr>
        <w:lastRenderedPageBreak/>
        <w:t>Intellectual Property Rights</w:t>
      </w:r>
      <w:bookmarkEnd w:id="52"/>
      <w:bookmarkEnd w:id="53"/>
      <w:bookmarkEnd w:id="54"/>
      <w:bookmarkEnd w:id="55"/>
      <w:bookmarkEnd w:id="56"/>
      <w:bookmarkEnd w:id="57"/>
      <w:bookmarkEnd w:id="58"/>
      <w:r w:rsidRPr="00691B5C">
        <w:rPr>
          <w:rFonts w:cs="Arial"/>
          <w:szCs w:val="22"/>
        </w:rPr>
        <w:tab/>
      </w:r>
    </w:p>
    <w:p w14:paraId="18A6DE8C"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43F9CBE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45255C9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1AE79A3" w14:textId="77777777" w:rsidR="00691B5C" w:rsidRPr="00691B5C" w:rsidRDefault="00691B5C" w:rsidP="00691B5C">
      <w:pPr>
        <w:pStyle w:val="MRheading20"/>
        <w:spacing w:before="60" w:after="160" w:line="276" w:lineRule="auto"/>
        <w:rPr>
          <w:rFonts w:cs="Arial"/>
          <w:kern w:val="20"/>
          <w:szCs w:val="22"/>
        </w:rPr>
      </w:pPr>
      <w:bookmarkStart w:id="59"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59"/>
    </w:p>
    <w:p w14:paraId="1F5D3A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1A35AF0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3CA4ADB8"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1FD3A27D"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8131AD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14:paraId="2C11E44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14:paraId="1B9D1B8D"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2B4B368"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4FD35E77" w14:textId="77777777" w:rsidR="00691B5C" w:rsidRPr="00691B5C" w:rsidRDefault="00691B5C" w:rsidP="00691B5C">
      <w:pPr>
        <w:pStyle w:val="MRheading10"/>
        <w:spacing w:before="60" w:after="160" w:line="276" w:lineRule="auto"/>
        <w:rPr>
          <w:rFonts w:cs="Arial"/>
          <w:szCs w:val="22"/>
        </w:rPr>
      </w:pPr>
      <w:bookmarkStart w:id="60" w:name="_Ref172690718"/>
      <w:bookmarkStart w:id="61" w:name="_Toc207776112"/>
      <w:bookmarkStart w:id="62" w:name="_Toc207776260"/>
      <w:r w:rsidRPr="00691B5C">
        <w:rPr>
          <w:rFonts w:cs="Arial"/>
          <w:szCs w:val="22"/>
        </w:rPr>
        <w:lastRenderedPageBreak/>
        <w:t>Limitation of Liability</w:t>
      </w:r>
      <w:bookmarkEnd w:id="60"/>
      <w:bookmarkEnd w:id="61"/>
      <w:bookmarkEnd w:id="62"/>
    </w:p>
    <w:p w14:paraId="7B8A55EA" w14:textId="77777777" w:rsidR="00691B5C" w:rsidRPr="00691B5C" w:rsidRDefault="00691B5C" w:rsidP="00691B5C">
      <w:pPr>
        <w:pStyle w:val="MRheading20"/>
        <w:spacing w:before="60" w:after="160" w:line="276" w:lineRule="auto"/>
        <w:rPr>
          <w:rFonts w:cs="Arial"/>
          <w:szCs w:val="22"/>
        </w:rPr>
      </w:pPr>
      <w:bookmarkStart w:id="63" w:name="_Ref205952944"/>
      <w:bookmarkStart w:id="64" w:name="_Ref211221467"/>
      <w:bookmarkStart w:id="65"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3"/>
      <w:bookmarkEnd w:id="64"/>
    </w:p>
    <w:p w14:paraId="1C40248A" w14:textId="77777777" w:rsidR="00691B5C" w:rsidRPr="0081034E" w:rsidRDefault="00691B5C" w:rsidP="00691B5C">
      <w:pPr>
        <w:pStyle w:val="MRheading20"/>
        <w:spacing w:before="60" w:after="160" w:line="276" w:lineRule="auto"/>
        <w:rPr>
          <w:rFonts w:cs="Arial"/>
          <w:szCs w:val="22"/>
        </w:rPr>
      </w:pPr>
      <w:bookmarkStart w:id="66"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5E7CC4">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5E7CC4">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65"/>
      <w:bookmarkEnd w:id="66"/>
    </w:p>
    <w:p w14:paraId="1651074C" w14:textId="77777777" w:rsidR="00691B5C" w:rsidRPr="00691B5C" w:rsidRDefault="00691B5C" w:rsidP="00691B5C">
      <w:pPr>
        <w:pStyle w:val="MRheading20"/>
        <w:spacing w:before="60" w:after="160" w:line="276" w:lineRule="auto"/>
        <w:rPr>
          <w:rFonts w:cs="Arial"/>
          <w:szCs w:val="22"/>
        </w:rPr>
      </w:pPr>
      <w:bookmarkStart w:id="67"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67"/>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5E7CC4">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74196FCC" w14:textId="77777777" w:rsidR="00691B5C" w:rsidRPr="00691B5C" w:rsidRDefault="00691B5C" w:rsidP="00691B5C">
      <w:pPr>
        <w:pStyle w:val="MRheading20"/>
        <w:spacing w:before="60" w:after="160" w:line="276" w:lineRule="auto"/>
        <w:rPr>
          <w:rFonts w:cs="Arial"/>
          <w:szCs w:val="22"/>
        </w:rPr>
      </w:pPr>
      <w:bookmarkStart w:id="68"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5E7CC4">
        <w:rPr>
          <w:rFonts w:cs="Arial"/>
          <w:szCs w:val="22"/>
        </w:rPr>
        <w:t>11.4</w:t>
      </w:r>
      <w:r w:rsidRPr="00691B5C">
        <w:rPr>
          <w:rFonts w:cs="Arial"/>
          <w:szCs w:val="22"/>
        </w:rPr>
        <w:fldChar w:fldCharType="end"/>
      </w:r>
      <w:r w:rsidRPr="00691B5C">
        <w:rPr>
          <w:rFonts w:cs="Arial"/>
          <w:szCs w:val="22"/>
        </w:rPr>
        <w:t>.</w:t>
      </w:r>
      <w:bookmarkEnd w:id="68"/>
    </w:p>
    <w:p w14:paraId="10F841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E7CC4">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5E7CC4">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0BA147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3A8CF13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5E7CC4">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0928E0A4" w14:textId="77777777" w:rsidR="00691B5C" w:rsidRPr="00691B5C" w:rsidRDefault="00691B5C" w:rsidP="00691B5C">
      <w:pPr>
        <w:pStyle w:val="MRheading10"/>
        <w:spacing w:before="60" w:after="160" w:line="276" w:lineRule="auto"/>
        <w:rPr>
          <w:rFonts w:cs="Arial"/>
          <w:szCs w:val="22"/>
        </w:rPr>
      </w:pPr>
      <w:bookmarkStart w:id="69" w:name="_Ref172367191"/>
      <w:bookmarkStart w:id="70" w:name="_Toc207776113"/>
      <w:bookmarkStart w:id="71" w:name="_Toc207776261"/>
      <w:r w:rsidRPr="00691B5C">
        <w:rPr>
          <w:rFonts w:cs="Arial"/>
          <w:szCs w:val="22"/>
        </w:rPr>
        <w:t>Confidentiality</w:t>
      </w:r>
      <w:bookmarkEnd w:id="69"/>
      <w:bookmarkEnd w:id="70"/>
      <w:bookmarkEnd w:id="71"/>
    </w:p>
    <w:p w14:paraId="106C77BF" w14:textId="77777777" w:rsidR="00691B5C" w:rsidRPr="00691B5C" w:rsidRDefault="00691B5C" w:rsidP="00691B5C">
      <w:pPr>
        <w:pStyle w:val="MRheading20"/>
        <w:spacing w:before="60" w:after="160" w:line="276" w:lineRule="auto"/>
        <w:rPr>
          <w:rFonts w:cs="Arial"/>
          <w:szCs w:val="22"/>
        </w:rPr>
      </w:pPr>
      <w:bookmarkStart w:id="72"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w:t>
      </w:r>
    </w:p>
    <w:p w14:paraId="217CD38B"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263055D2"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2FF7D177" w14:textId="77777777" w:rsidR="00691B5C" w:rsidRPr="00691B5C" w:rsidRDefault="00691B5C" w:rsidP="00691B5C">
      <w:pPr>
        <w:pStyle w:val="MRheading20"/>
        <w:spacing w:before="60" w:after="160" w:line="276" w:lineRule="auto"/>
        <w:rPr>
          <w:rFonts w:cs="Arial"/>
          <w:szCs w:val="22"/>
        </w:rPr>
      </w:pPr>
      <w:bookmarkStart w:id="73" w:name="_Ref208381333"/>
      <w:r w:rsidRPr="00691B5C">
        <w:rPr>
          <w:rFonts w:cs="Arial"/>
          <w:szCs w:val="22"/>
        </w:rPr>
        <w:t>The Receiving Party shall take all necessary precautions to ensure that all Confidential Information it receives under or in connection with this Agreement:</w:t>
      </w:r>
      <w:bookmarkEnd w:id="72"/>
      <w:bookmarkEnd w:id="73"/>
    </w:p>
    <w:p w14:paraId="4F2A547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w:t>
      </w:r>
      <w:r w:rsidRPr="00691B5C">
        <w:rPr>
          <w:rFonts w:cs="Arial"/>
          <w:szCs w:val="22"/>
        </w:rPr>
        <w:lastRenderedPageBreak/>
        <w:t>Agreement as is strictly necessary for the performance of this Agreement and only to the extent necessary for the performance of this Agreement; and</w:t>
      </w:r>
    </w:p>
    <w:p w14:paraId="370FBD7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58428F96" w14:textId="77777777" w:rsidR="00691B5C" w:rsidRPr="00691B5C" w:rsidRDefault="00691B5C" w:rsidP="00691B5C">
      <w:pPr>
        <w:pStyle w:val="MRheading20"/>
        <w:spacing w:before="60" w:after="160" w:line="276" w:lineRule="auto"/>
        <w:rPr>
          <w:rFonts w:cs="Arial"/>
          <w:szCs w:val="22"/>
        </w:rPr>
      </w:pPr>
      <w:bookmarkStart w:id="74"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74"/>
    </w:p>
    <w:p w14:paraId="111872E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5E7CC4">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5E7CC4">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56AC615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w:t>
      </w:r>
    </w:p>
    <w:p w14:paraId="178D8AE9" w14:textId="77777777" w:rsidR="00691B5C" w:rsidRPr="00691B5C" w:rsidRDefault="00691B5C" w:rsidP="00691B5C">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3AAD53A7" w14:textId="77777777" w:rsidR="00691B5C" w:rsidRPr="00691B5C" w:rsidRDefault="00691B5C" w:rsidP="00691B5C">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1CB8D1D8"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04258192" w14:textId="77777777" w:rsidR="00691B5C" w:rsidRPr="00691B5C" w:rsidRDefault="00691B5C" w:rsidP="00691B5C">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192A3D1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the event that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6A00400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1D3613A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2CAB629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7E31111F"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6CD647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151D8DD"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6940BEEB" w14:textId="77777777" w:rsidR="00691B5C" w:rsidRPr="00691B5C" w:rsidRDefault="00691B5C" w:rsidP="00691B5C">
      <w:pPr>
        <w:pStyle w:val="MRheading30"/>
        <w:spacing w:before="60" w:after="160" w:line="276" w:lineRule="auto"/>
        <w:rPr>
          <w:rFonts w:cs="Arial"/>
          <w:szCs w:val="22"/>
        </w:rPr>
      </w:pPr>
      <w:bookmarkStart w:id="75"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75"/>
    </w:p>
    <w:p w14:paraId="316BC08E"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32E24958"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5E7CC4">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2B4FF92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3E59248B" w14:textId="77777777" w:rsidR="00691B5C" w:rsidRPr="00691B5C" w:rsidRDefault="00691B5C" w:rsidP="00691B5C">
      <w:pPr>
        <w:pStyle w:val="MRheading10"/>
        <w:spacing w:before="60" w:after="160" w:line="276" w:lineRule="auto"/>
        <w:rPr>
          <w:rFonts w:cs="Arial"/>
          <w:szCs w:val="22"/>
        </w:rPr>
      </w:pPr>
      <w:bookmarkStart w:id="76" w:name="_Ref172691842"/>
      <w:bookmarkStart w:id="77" w:name="_Toc207776115"/>
      <w:bookmarkStart w:id="78" w:name="_Toc207776263"/>
      <w:r w:rsidRPr="00691B5C">
        <w:rPr>
          <w:rFonts w:cs="Arial"/>
          <w:szCs w:val="22"/>
        </w:rPr>
        <w:t>Termination</w:t>
      </w:r>
      <w:bookmarkEnd w:id="76"/>
      <w:bookmarkEnd w:id="77"/>
      <w:bookmarkEnd w:id="78"/>
    </w:p>
    <w:p w14:paraId="65D49EA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299BA7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 for a period in excess of 28 days;</w:t>
      </w:r>
    </w:p>
    <w:p w14:paraId="2ADB3586"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10A4733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009C2919" w14:textId="77777777" w:rsidR="00691B5C" w:rsidRPr="00691B5C" w:rsidRDefault="00691B5C" w:rsidP="00691B5C">
      <w:pPr>
        <w:pStyle w:val="MRheading40"/>
        <w:spacing w:before="60" w:after="160" w:line="276" w:lineRule="auto"/>
        <w:rPr>
          <w:rFonts w:cs="Arial"/>
          <w:szCs w:val="22"/>
        </w:rPr>
      </w:pPr>
      <w:r w:rsidRPr="00691B5C">
        <w:rPr>
          <w:rFonts w:cs="Arial"/>
          <w:szCs w:val="22"/>
        </w:rPr>
        <w:t>is incapacitated (including by reason of illness or accident) from providing the Services for an aggregate period of five (5) Working Days in any two (2) week consecutive period;</w:t>
      </w:r>
    </w:p>
    <w:p w14:paraId="52878960"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69CDA9D2" w14:textId="77777777" w:rsidR="00691B5C" w:rsidRPr="00691B5C" w:rsidRDefault="00691B5C" w:rsidP="00691B5C">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189350D6" w14:textId="77777777" w:rsidR="00691B5C" w:rsidRPr="00691B5C" w:rsidRDefault="00691B5C" w:rsidP="00691B5C">
      <w:pPr>
        <w:pStyle w:val="MRheading20"/>
        <w:spacing w:before="60" w:after="160" w:line="276" w:lineRule="auto"/>
        <w:rPr>
          <w:rFonts w:cs="Arial"/>
          <w:szCs w:val="22"/>
        </w:rPr>
      </w:pPr>
      <w:bookmarkStart w:id="79" w:name="_Ref266713809"/>
      <w:bookmarkStart w:id="80" w:name="a660795"/>
      <w:r w:rsidRPr="00691B5C">
        <w:rPr>
          <w:rFonts w:cs="Arial"/>
          <w:szCs w:val="22"/>
        </w:rPr>
        <w:t>Either party may give notice in writing to the other terminating this Agreement with immediate effect if:</w:t>
      </w:r>
      <w:bookmarkEnd w:id="79"/>
    </w:p>
    <w:p w14:paraId="1B1418E0"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4471765D" w14:textId="77777777" w:rsidR="00691B5C" w:rsidRPr="00691B5C" w:rsidRDefault="00691B5C" w:rsidP="003E6B65">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w:t>
      </w:r>
      <w:r w:rsidRPr="00691B5C">
        <w:rPr>
          <w:rFonts w:cs="Arial"/>
          <w:szCs w:val="22"/>
        </w:rPr>
        <w:lastRenderedPageBreak/>
        <w:t>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BD894E0"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029C10DE"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5A10CEE5" w14:textId="77777777" w:rsidR="003E6B65" w:rsidRDefault="00691B5C" w:rsidP="003E6B65">
      <w:pPr>
        <w:pStyle w:val="MRheading30"/>
        <w:spacing w:before="160" w:after="60" w:line="288" w:lineRule="auto"/>
      </w:pPr>
      <w:r w:rsidRPr="00691B5C">
        <w:t>the End Client Agreement terminates</w:t>
      </w:r>
      <w:r w:rsidR="003E6B65">
        <w:t>;</w:t>
      </w:r>
    </w:p>
    <w:p w14:paraId="29359645" w14:textId="77777777" w:rsidR="003E6B65" w:rsidRDefault="003E6B65" w:rsidP="003E6B65">
      <w:pPr>
        <w:pStyle w:val="MRheading30"/>
        <w:spacing w:before="160" w:after="60" w:line="288" w:lineRule="auto"/>
      </w:pPr>
      <w:r>
        <w:t>the End Client instructs the British Council in writing to terminate this Agreement;</w:t>
      </w:r>
    </w:p>
    <w:p w14:paraId="07BAEEEE" w14:textId="77777777" w:rsidR="003E6B65" w:rsidRDefault="003E6B65" w:rsidP="003E6B65">
      <w:pPr>
        <w:pStyle w:val="MRheading30"/>
        <w:spacing w:before="160" w:after="60" w:line="288" w:lineRule="auto"/>
      </w:pPr>
      <w:r>
        <w:t>a provider of funding to the British Council for the Services instructs the British Council in writing to terminate this Agreement; or</w:t>
      </w:r>
    </w:p>
    <w:p w14:paraId="1A21CF9A"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E307C4B" w14:textId="77777777" w:rsidR="00691B5C" w:rsidRPr="00691B5C" w:rsidRDefault="00691B5C" w:rsidP="003E6B65">
      <w:pPr>
        <w:pStyle w:val="MRheading20"/>
        <w:spacing w:before="160" w:after="60" w:line="288" w:lineRule="auto"/>
        <w:rPr>
          <w:rFonts w:cs="Arial"/>
          <w:szCs w:val="22"/>
        </w:rPr>
      </w:pPr>
      <w:bookmarkStart w:id="81" w:name="_Ref205893735"/>
      <w:bookmarkStart w:id="82"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5E7CC4">
        <w:rPr>
          <w:rFonts w:cs="Arial"/>
          <w:szCs w:val="22"/>
        </w:rPr>
        <w:t>13.4</w:t>
      </w:r>
      <w:r w:rsidRPr="00691B5C">
        <w:rPr>
          <w:rFonts w:cs="Arial"/>
          <w:szCs w:val="22"/>
        </w:rPr>
        <w:fldChar w:fldCharType="end"/>
      </w:r>
      <w:bookmarkEnd w:id="81"/>
      <w:r w:rsidRPr="00691B5C">
        <w:rPr>
          <w:rFonts w:cs="Arial"/>
          <w:szCs w:val="22"/>
        </w:rPr>
        <w:t>, three or more non-material breaches of the terms of this Agreement may together constitute a persistent breach.</w:t>
      </w:r>
    </w:p>
    <w:p w14:paraId="7402CB9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83" w:name="BookmarkToReturnToPrintingOutTheDoc"/>
      <w:r w:rsidRPr="00691B5C">
        <w:rPr>
          <w:rFonts w:cs="Arial"/>
          <w:szCs w:val="22"/>
        </w:rPr>
        <w:t>suspension</w:t>
      </w:r>
      <w:bookmarkEnd w:id="83"/>
      <w:r w:rsidRPr="00691B5C">
        <w:rPr>
          <w:rFonts w:cs="Arial"/>
          <w:szCs w:val="22"/>
        </w:rPr>
        <w:t>.</w:t>
      </w:r>
    </w:p>
    <w:p w14:paraId="19F6EE7D" w14:textId="77777777" w:rsidR="00691B5C" w:rsidRPr="00691B5C" w:rsidRDefault="00691B5C" w:rsidP="00691B5C">
      <w:pPr>
        <w:pStyle w:val="MRheading20"/>
        <w:spacing w:before="60" w:after="160" w:line="276" w:lineRule="auto"/>
        <w:rPr>
          <w:rFonts w:cs="Arial"/>
          <w:szCs w:val="22"/>
        </w:rPr>
      </w:pPr>
      <w:bookmarkStart w:id="84"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2"/>
      <w:bookmarkEnd w:id="84"/>
      <w:r w:rsidRPr="00691B5C">
        <w:rPr>
          <w:rFonts w:cs="Arial"/>
          <w:szCs w:val="22"/>
        </w:rPr>
        <w:t xml:space="preserve"> </w:t>
      </w:r>
      <w:bookmarkEnd w:id="80"/>
    </w:p>
    <w:p w14:paraId="0A2AEEA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and</w:t>
      </w:r>
    </w:p>
    <w:p w14:paraId="1FD122A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5E7CC4">
        <w:rPr>
          <w:rFonts w:cs="Arial"/>
          <w:szCs w:val="22"/>
        </w:rPr>
        <w:t>10.4</w:t>
      </w:r>
      <w:r w:rsidRPr="00691B5C">
        <w:rPr>
          <w:rFonts w:cs="Arial"/>
          <w:szCs w:val="22"/>
        </w:rPr>
        <w:fldChar w:fldCharType="end"/>
      </w:r>
      <w:r w:rsidRPr="00691B5C">
        <w:rPr>
          <w:rFonts w:cs="Arial"/>
          <w:szCs w:val="22"/>
        </w:rPr>
        <w:t>).</w:t>
      </w:r>
    </w:p>
    <w:p w14:paraId="195D6DE2" w14:textId="77777777" w:rsidR="00691B5C" w:rsidRPr="00691B5C" w:rsidRDefault="00691B5C" w:rsidP="00691B5C">
      <w:pPr>
        <w:pStyle w:val="MRheading20"/>
        <w:keepLines/>
        <w:spacing w:before="60" w:after="160" w:line="276" w:lineRule="auto"/>
        <w:rPr>
          <w:rFonts w:cs="Arial"/>
          <w:szCs w:val="22"/>
        </w:rPr>
      </w:pPr>
      <w:r w:rsidRPr="00691B5C">
        <w:rPr>
          <w:rFonts w:cs="Arial"/>
          <w:szCs w:val="22"/>
        </w:rPr>
        <w:lastRenderedPageBreak/>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5E7CC4">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14E12B1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0AA40427"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972DF38"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E7CC4">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1613962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1FCED200" w14:textId="77777777" w:rsidR="00691B5C" w:rsidRPr="00691B5C" w:rsidRDefault="00691B5C" w:rsidP="00691B5C">
      <w:pPr>
        <w:pStyle w:val="MRheading20"/>
        <w:spacing w:before="60" w:after="160" w:line="276" w:lineRule="auto"/>
        <w:rPr>
          <w:rFonts w:cs="Arial"/>
          <w:szCs w:val="22"/>
        </w:rPr>
      </w:pPr>
      <w:bookmarkStart w:id="85"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85"/>
      <w:r w:rsidRPr="00691B5C">
        <w:rPr>
          <w:rFonts w:cs="Arial"/>
          <w:szCs w:val="22"/>
        </w:rPr>
        <w:t xml:space="preserve">  </w:t>
      </w:r>
    </w:p>
    <w:p w14:paraId="3964E4B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5E7CC4">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66F1FD0B" w14:textId="77777777" w:rsidR="00B57B2D" w:rsidRPr="000F4CAE" w:rsidRDefault="00B57B2D" w:rsidP="00B57B2D">
      <w:pPr>
        <w:pStyle w:val="MRheading20"/>
        <w:spacing w:before="60" w:after="160" w:line="276" w:lineRule="auto"/>
      </w:pPr>
      <w:bookmarkStart w:id="86" w:name="_Ref452554148"/>
      <w:r w:rsidRPr="000F4CAE">
        <w:t xml:space="preserve">Where the </w:t>
      </w:r>
      <w:r w:rsidR="001E01FF">
        <w:t>Supplier</w:t>
      </w:r>
      <w:r w:rsidRPr="000F4CAE">
        <w:t xml:space="preserve"> enters into a Sub-Contract, the </w:t>
      </w:r>
      <w:r w:rsidR="001E01FF">
        <w:t>Supplier</w:t>
      </w:r>
      <w:r>
        <w:t xml:space="preserve"> shall:</w:t>
      </w:r>
      <w:bookmarkEnd w:id="86"/>
    </w:p>
    <w:p w14:paraId="0BFB125A" w14:textId="77777777" w:rsidR="00B57B2D" w:rsidRPr="000F4CAE" w:rsidRDefault="00B57B2D" w:rsidP="00B57B2D">
      <w:pPr>
        <w:pStyle w:val="MRheading30"/>
        <w:spacing w:before="60" w:after="160" w:line="276" w:lineRule="auto"/>
      </w:pPr>
      <w:bookmarkStart w:id="87" w:name="_Ref452554106"/>
      <w:r w:rsidRPr="000F4CAE">
        <w:t>pay any valid invoice received from its subcontractor within 30 days following receipt of the relevant invoice payable under the Sub-Contract; and</w:t>
      </w:r>
      <w:bookmarkEnd w:id="87"/>
    </w:p>
    <w:p w14:paraId="5D298FC9" w14:textId="77777777"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5E7CC4">
        <w:t>14.3.1</w:t>
      </w:r>
      <w:r w:rsidR="00DF406A">
        <w:fldChar w:fldCharType="end"/>
      </w:r>
      <w:r w:rsidRPr="000F4CAE">
        <w:t xml:space="preserve"> of this Agreement.</w:t>
      </w:r>
    </w:p>
    <w:p w14:paraId="7378EC14" w14:textId="77777777"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5E7CC4">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3221E28F"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542CCEBF" w14:textId="77777777" w:rsidR="003D13B8" w:rsidRPr="003D13B8" w:rsidRDefault="003D13B8" w:rsidP="003D13B8">
      <w:pPr>
        <w:pStyle w:val="MRheading10"/>
        <w:spacing w:before="60" w:after="160" w:line="276" w:lineRule="auto"/>
        <w:rPr>
          <w:rFonts w:cs="Arial"/>
          <w:szCs w:val="22"/>
        </w:rPr>
      </w:pPr>
      <w:bookmarkStart w:id="88" w:name="_Ref511302717"/>
      <w:bookmarkStart w:id="89" w:name="_Ref172432194"/>
      <w:bookmarkStart w:id="90" w:name="_Toc207776120"/>
      <w:bookmarkStart w:id="91" w:name="_Toc207776268"/>
      <w:r w:rsidRPr="003D13B8">
        <w:rPr>
          <w:rFonts w:cs="Arial"/>
          <w:szCs w:val="22"/>
        </w:rPr>
        <w:lastRenderedPageBreak/>
        <w:t>Anti-Corruption, Anti-Collusion and Tax Evasion</w:t>
      </w:r>
      <w:bookmarkEnd w:id="88"/>
    </w:p>
    <w:p w14:paraId="3CEC475E" w14:textId="77777777" w:rsidR="003D13B8" w:rsidRPr="003D13B8" w:rsidRDefault="003D13B8" w:rsidP="003D13B8">
      <w:pPr>
        <w:pStyle w:val="MRheading20"/>
        <w:spacing w:before="60" w:after="160" w:line="276" w:lineRule="auto"/>
      </w:pPr>
      <w:bookmarkStart w:id="92"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2"/>
    </w:p>
    <w:p w14:paraId="181E1430" w14:textId="77777777" w:rsidR="003D13B8" w:rsidRPr="003D13B8" w:rsidRDefault="003D13B8" w:rsidP="003D13B8">
      <w:pPr>
        <w:pStyle w:val="MRheading20"/>
        <w:spacing w:before="60" w:after="160" w:line="276" w:lineRule="auto"/>
      </w:pPr>
      <w:bookmarkStart w:id="93" w:name="_Ref511302570"/>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93"/>
    </w:p>
    <w:p w14:paraId="3C5D51D5" w14:textId="77777777" w:rsidR="003D13B8" w:rsidRPr="003D13B8" w:rsidRDefault="003D13B8" w:rsidP="003D13B8">
      <w:pPr>
        <w:pStyle w:val="MRheading20"/>
        <w:spacing w:before="60" w:after="160" w:line="276" w:lineRule="auto"/>
      </w:pPr>
      <w:bookmarkStart w:id="94" w:name="_Ref511302532"/>
      <w:r w:rsidRPr="003D13B8">
        <w:t>The Supplier warrants that:</w:t>
      </w:r>
      <w:bookmarkEnd w:id="94"/>
    </w:p>
    <w:p w14:paraId="029BCB5D" w14:textId="77777777" w:rsidR="003D13B8" w:rsidRPr="003D13B8" w:rsidRDefault="003D13B8" w:rsidP="003D13B8">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64987E7D" w14:textId="77777777" w:rsidR="003D13B8" w:rsidRPr="003D13B8" w:rsidRDefault="003D13B8" w:rsidP="003D13B8">
      <w:pPr>
        <w:pStyle w:val="MRheading30"/>
        <w:spacing w:before="60" w:after="160" w:line="276" w:lineRule="auto"/>
      </w:pPr>
      <w:r w:rsidRPr="003D13B8">
        <w:t>it, and any Relevant Person, has not engaged, and will not at any time engage, in any activity, practice or conduct which would constitute either:</w:t>
      </w:r>
    </w:p>
    <w:p w14:paraId="0D03DBE6" w14:textId="77777777" w:rsidR="003D13B8" w:rsidRPr="003D13B8" w:rsidRDefault="003D13B8" w:rsidP="003D13B8">
      <w:pPr>
        <w:pStyle w:val="MRheading40"/>
        <w:spacing w:before="60" w:after="160" w:line="276" w:lineRule="auto"/>
      </w:pPr>
      <w:r w:rsidRPr="003D13B8">
        <w:t>a UK tax evasion facilitation offence under section 45(1) of the Criminal Finances Act 2017; or</w:t>
      </w:r>
    </w:p>
    <w:p w14:paraId="228B9CDC" w14:textId="77777777" w:rsidR="003D13B8" w:rsidRPr="003D13B8" w:rsidRDefault="003D13B8" w:rsidP="003D13B8">
      <w:pPr>
        <w:pStyle w:val="MRheading40"/>
        <w:spacing w:before="60" w:after="160" w:line="276" w:lineRule="auto"/>
      </w:pPr>
      <w:r w:rsidRPr="003D13B8">
        <w:t>a foreign tax evasion facilitation offence under section 46(1) of the Criminal Finances Act 2017.</w:t>
      </w:r>
    </w:p>
    <w:p w14:paraId="4A7F59CA" w14:textId="77777777" w:rsidR="003D13B8" w:rsidRPr="003D13B8" w:rsidRDefault="003D13B8" w:rsidP="003D13B8">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5E7CC4">
        <w:t>15.3</w:t>
      </w:r>
      <w:r>
        <w:fldChar w:fldCharType="end"/>
      </w:r>
      <w:r w:rsidRPr="003D13B8">
        <w:t xml:space="preserve"> is intended to prevent the Supplier from discussing the terms of this Agreement and the Supplier’s pricing with the Supplier’s professional advisors.</w:t>
      </w:r>
    </w:p>
    <w:p w14:paraId="17327E7C" w14:textId="77777777" w:rsidR="003D13B8" w:rsidRPr="003D13B8" w:rsidRDefault="003D13B8" w:rsidP="003D13B8">
      <w:pPr>
        <w:pStyle w:val="MRheading20"/>
        <w:spacing w:before="60" w:after="160" w:line="276" w:lineRule="auto"/>
      </w:pPr>
      <w:bookmarkStart w:id="95" w:name="_Ref511302550"/>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95"/>
    </w:p>
    <w:p w14:paraId="6B5D9005" w14:textId="77777777" w:rsidR="003D13B8" w:rsidRPr="003D13B8" w:rsidRDefault="003D13B8" w:rsidP="003D13B8">
      <w:pPr>
        <w:pStyle w:val="MRheading30"/>
        <w:spacing w:before="60" w:after="160" w:line="276" w:lineRule="auto"/>
      </w:pPr>
      <w:r w:rsidRPr="003D13B8">
        <w:t>as an individual or entity with whom national or supranational bodies have decreed organisations should not have financial dealings;</w:t>
      </w:r>
    </w:p>
    <w:p w14:paraId="4F11CC9A" w14:textId="77777777" w:rsidR="003D13B8" w:rsidRPr="003D13B8" w:rsidRDefault="003D13B8" w:rsidP="003D13B8">
      <w:pPr>
        <w:pStyle w:val="MRheading30"/>
        <w:spacing w:before="60" w:after="160" w:line="276" w:lineRule="auto"/>
      </w:pPr>
      <w:r w:rsidRPr="003D13B8">
        <w:t>as being wanted by Interpol or any national law enforcement body in connection with crime;</w:t>
      </w:r>
    </w:p>
    <w:p w14:paraId="1C4E1935" w14:textId="77777777" w:rsidR="003D13B8" w:rsidRPr="003D13B8" w:rsidRDefault="003D13B8" w:rsidP="003D13B8">
      <w:pPr>
        <w:pStyle w:val="MRheading30"/>
        <w:spacing w:before="60" w:after="160" w:line="276" w:lineRule="auto"/>
      </w:pPr>
      <w:r w:rsidRPr="003D13B8">
        <w:t>as being subject to regulatory action by a national or international enforcement body;</w:t>
      </w:r>
    </w:p>
    <w:p w14:paraId="6E07DB99" w14:textId="77777777" w:rsidR="003D13B8" w:rsidRPr="003D13B8" w:rsidRDefault="003D13B8" w:rsidP="003D13B8">
      <w:pPr>
        <w:pStyle w:val="MRheading30"/>
        <w:spacing w:before="60" w:after="160" w:line="276" w:lineRule="auto"/>
      </w:pPr>
      <w:r w:rsidRPr="003D13B8">
        <w:t>as being subject to export, trade or procurement controls or (in the case of an individual) as being disqualified from being a company director; and/or</w:t>
      </w:r>
    </w:p>
    <w:p w14:paraId="1C1264A2" w14:textId="77777777" w:rsidR="003D13B8" w:rsidRPr="003D13B8" w:rsidRDefault="003D13B8" w:rsidP="003D13B8">
      <w:pPr>
        <w:pStyle w:val="MRheading30"/>
        <w:spacing w:before="60" w:after="160" w:line="276" w:lineRule="auto"/>
      </w:pPr>
      <w:r w:rsidRPr="003D13B8">
        <w:t>as being a heightened risk individual or organisation, or (in the case of an individual) a politically exposed person,</w:t>
      </w:r>
    </w:p>
    <w:p w14:paraId="57B84E12" w14:textId="77777777" w:rsidR="003D13B8" w:rsidRPr="003D13B8" w:rsidRDefault="003D13B8" w:rsidP="003D13B8">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4B9C2DBA" w14:textId="77777777" w:rsidR="003D13B8" w:rsidRPr="003D13B8" w:rsidRDefault="003D13B8" w:rsidP="003D13B8">
      <w:pPr>
        <w:pStyle w:val="MRheading20"/>
        <w:spacing w:before="60" w:after="160" w:line="276" w:lineRule="auto"/>
      </w:pPr>
      <w:bookmarkStart w:id="96" w:name="_Ref511302589"/>
      <w:r w:rsidRPr="003D13B8">
        <w:lastRenderedPageBreak/>
        <w:t>The Supplier warrants that it will not make payment to, transfer property to, or otherwise have dealings with, any Prohibited Entity.</w:t>
      </w:r>
      <w:bookmarkEnd w:id="96"/>
    </w:p>
    <w:p w14:paraId="628C6A74" w14:textId="77777777" w:rsidR="003D13B8" w:rsidRPr="003D13B8" w:rsidRDefault="003D13B8" w:rsidP="003D13B8">
      <w:pPr>
        <w:pStyle w:val="MRheading20"/>
        <w:spacing w:before="60" w:after="160" w:line="276" w:lineRule="auto"/>
      </w:pPr>
      <w:bookmarkStart w:id="97" w:name="_Ref511302671"/>
      <w:r w:rsidRPr="003D13B8">
        <w:t>If any of the Supplier, the Supplier’s Team or the Supplier’s Team’s directors or shareholders (where applicable) is</w:t>
      </w:r>
      <w:bookmarkEnd w:id="97"/>
    </w:p>
    <w:p w14:paraId="59BED9D8" w14:textId="77777777" w:rsidR="003D13B8" w:rsidRPr="003D13B8" w:rsidRDefault="003D13B8" w:rsidP="003D13B8">
      <w:pPr>
        <w:pStyle w:val="MRheading30"/>
        <w:spacing w:before="60" w:after="160" w:line="276" w:lineRule="auto"/>
      </w:pPr>
      <w:bookmarkStart w:id="98"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5E7CC4">
        <w:t>15.4</w:t>
      </w:r>
      <w:r>
        <w:fldChar w:fldCharType="end"/>
      </w:r>
      <w:r w:rsidRPr="003D13B8">
        <w:t>, or</w:t>
      </w:r>
      <w:bookmarkEnd w:id="98"/>
      <w:r w:rsidRPr="003D13B8">
        <w:t xml:space="preserve"> </w:t>
      </w:r>
    </w:p>
    <w:p w14:paraId="727098EC" w14:textId="77777777" w:rsidR="003D13B8" w:rsidRPr="003D13B8" w:rsidRDefault="003D13B8" w:rsidP="003D13B8">
      <w:pPr>
        <w:pStyle w:val="MRheading30"/>
        <w:spacing w:before="60" w:after="160" w:line="276" w:lineRule="auto"/>
      </w:pPr>
      <w:bookmarkStart w:id="99" w:name="_Ref511302615"/>
      <w:r w:rsidRPr="003D13B8">
        <w:t xml:space="preserve">breaches any of its obligations set out in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rsidRPr="003D13B8">
        <w:t xml:space="preserve"> or </w:t>
      </w:r>
      <w:r>
        <w:fldChar w:fldCharType="begin"/>
      </w:r>
      <w:r>
        <w:instrText xml:space="preserve"> REF _Ref511302589 \r \h </w:instrText>
      </w:r>
      <w:r>
        <w:fldChar w:fldCharType="separate"/>
      </w:r>
      <w:r w:rsidR="005E7CC4">
        <w:t>15.5</w:t>
      </w:r>
      <w:r>
        <w:fldChar w:fldCharType="end"/>
      </w:r>
      <w:r w:rsidRPr="003D13B8">
        <w:t>;</w:t>
      </w:r>
      <w:bookmarkEnd w:id="99"/>
    </w:p>
    <w:p w14:paraId="5828470B" w14:textId="77777777" w:rsidR="003D13B8" w:rsidRPr="003D13B8" w:rsidRDefault="003D13B8" w:rsidP="003D13B8">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5E7CC4">
        <w:t>15.7</w:t>
      </w:r>
      <w:r>
        <w:fldChar w:fldCharType="end"/>
      </w:r>
      <w:r w:rsidRPr="003D13B8">
        <w:t xml:space="preserve"> below.</w:t>
      </w:r>
    </w:p>
    <w:p w14:paraId="01C48B04" w14:textId="77777777" w:rsidR="003D13B8" w:rsidRPr="003D13B8" w:rsidRDefault="003D13B8" w:rsidP="003D13B8">
      <w:pPr>
        <w:pStyle w:val="MRheading20"/>
        <w:spacing w:before="60" w:after="160" w:line="276" w:lineRule="auto"/>
      </w:pPr>
      <w:bookmarkStart w:id="100" w:name="_Ref511302602"/>
      <w:r w:rsidRPr="003D13B8">
        <w:t xml:space="preserve">In the circumstances described at clause </w:t>
      </w:r>
      <w:r>
        <w:fldChar w:fldCharType="begin"/>
      </w:r>
      <w:r>
        <w:instrText xml:space="preserve"> REF _Ref511302609 \r \h </w:instrText>
      </w:r>
      <w:r>
        <w:fldChar w:fldCharType="separate"/>
      </w:r>
      <w:r w:rsidR="005E7CC4">
        <w:t>15.6.1</w:t>
      </w:r>
      <w:r>
        <w:fldChar w:fldCharType="end"/>
      </w:r>
      <w:r w:rsidRPr="003D13B8">
        <w:t xml:space="preserve"> and/or </w:t>
      </w:r>
      <w:r>
        <w:fldChar w:fldCharType="begin"/>
      </w:r>
      <w:r>
        <w:instrText xml:space="preserve"> REF _Ref511302615 \r \h </w:instrText>
      </w:r>
      <w:r>
        <w:fldChar w:fldCharType="separate"/>
      </w:r>
      <w:r w:rsidR="005E7CC4">
        <w:t>15.6.2</w:t>
      </w:r>
      <w:r>
        <w:fldChar w:fldCharType="end"/>
      </w:r>
      <w:r w:rsidRPr="003D13B8">
        <w:t>, and without prejudice to any other rights or remedies which the British Council may have, the British Council may</w:t>
      </w:r>
      <w:r>
        <w:t>:</w:t>
      </w:r>
      <w:bookmarkEnd w:id="100"/>
    </w:p>
    <w:p w14:paraId="0E82083D" w14:textId="77777777" w:rsidR="003D13B8" w:rsidRPr="003D13B8" w:rsidRDefault="003D13B8" w:rsidP="003D13B8">
      <w:pPr>
        <w:pStyle w:val="MRheading30"/>
        <w:spacing w:before="60" w:after="160" w:line="276" w:lineRule="auto"/>
      </w:pPr>
      <w:r w:rsidRPr="003D13B8">
        <w:t>terminate this Agreement without liability to the Supplier immediately on giving notice to the Supplier; and/or</w:t>
      </w:r>
    </w:p>
    <w:p w14:paraId="04054BF2" w14:textId="77777777" w:rsidR="003D13B8" w:rsidRPr="003D13B8" w:rsidRDefault="003D13B8" w:rsidP="003D13B8">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598CCA8C" w14:textId="77777777" w:rsidR="003D13B8" w:rsidRPr="003D13B8" w:rsidRDefault="003D13B8" w:rsidP="003D13B8">
      <w:pPr>
        <w:pStyle w:val="MRheading30"/>
        <w:spacing w:before="60" w:after="160" w:line="276" w:lineRule="auto"/>
      </w:pPr>
      <w:r w:rsidRPr="003D13B8">
        <w:t>reduce, withhold or claim a repayment (in full or in part) of the charges payable under this Agreement; and/or</w:t>
      </w:r>
    </w:p>
    <w:p w14:paraId="3BF8DA15" w14:textId="77777777" w:rsidR="003D13B8" w:rsidRPr="003D13B8" w:rsidRDefault="003D13B8" w:rsidP="003D13B8">
      <w:pPr>
        <w:pStyle w:val="MRheading30"/>
        <w:spacing w:before="60" w:after="160" w:line="276" w:lineRule="auto"/>
      </w:pPr>
      <w:r w:rsidRPr="003D13B8">
        <w:t>share such information with third parties.</w:t>
      </w:r>
    </w:p>
    <w:p w14:paraId="38DBFC9C" w14:textId="77777777" w:rsidR="003D13B8" w:rsidRPr="003D13B8" w:rsidRDefault="003D13B8" w:rsidP="003D13B8">
      <w:pPr>
        <w:pStyle w:val="MRheading20"/>
        <w:spacing w:before="60" w:after="160" w:line="276" w:lineRule="auto"/>
      </w:pPr>
      <w:bookmarkStart w:id="101"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5E7CC4">
        <w:t>15.4</w:t>
      </w:r>
      <w:r>
        <w:fldChar w:fldCharType="end"/>
      </w:r>
      <w:r w:rsidRPr="003D13B8">
        <w:t>.</w:t>
      </w:r>
      <w:bookmarkEnd w:id="101"/>
    </w:p>
    <w:p w14:paraId="3021143E" w14:textId="77777777" w:rsidR="003D13B8" w:rsidRPr="003D13B8" w:rsidRDefault="003D13B8" w:rsidP="003D13B8">
      <w:pPr>
        <w:pStyle w:val="MRheading20"/>
        <w:spacing w:before="60" w:after="160" w:line="276" w:lineRule="auto"/>
      </w:pPr>
      <w:r w:rsidRPr="003D13B8">
        <w:t xml:space="preserve">Without limitation to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t>,</w:t>
      </w:r>
      <w:r w:rsidRPr="003D13B8">
        <w:t xml:space="preserve"> </w:t>
      </w:r>
      <w:r>
        <w:fldChar w:fldCharType="begin"/>
      </w:r>
      <w:r>
        <w:instrText xml:space="preserve"> REF _Ref511302550 \r \h </w:instrText>
      </w:r>
      <w:r>
        <w:fldChar w:fldCharType="separate"/>
      </w:r>
      <w:r w:rsidR="005E7CC4">
        <w:t>15.4</w:t>
      </w:r>
      <w:r>
        <w:fldChar w:fldCharType="end"/>
      </w:r>
      <w:r>
        <w:t>,</w:t>
      </w:r>
      <w:r w:rsidRPr="003D13B8">
        <w:t xml:space="preserve"> </w:t>
      </w:r>
      <w:r>
        <w:fldChar w:fldCharType="begin"/>
      </w:r>
      <w:r>
        <w:instrText xml:space="preserve"> REF _Ref511302589 \r \h </w:instrText>
      </w:r>
      <w:r>
        <w:fldChar w:fldCharType="separate"/>
      </w:r>
      <w:r w:rsidR="005E7CC4">
        <w:t>15.5</w:t>
      </w:r>
      <w:r>
        <w:fldChar w:fldCharType="end"/>
      </w:r>
      <w:r w:rsidRPr="003D13B8">
        <w:t xml:space="preserve">, </w:t>
      </w:r>
      <w:r>
        <w:fldChar w:fldCharType="begin"/>
      </w:r>
      <w:r>
        <w:instrText xml:space="preserve"> REF _Ref511302671 \r \h </w:instrText>
      </w:r>
      <w:r>
        <w:fldChar w:fldCharType="separate"/>
      </w:r>
      <w:r w:rsidR="005E7CC4">
        <w:t>15.6</w:t>
      </w:r>
      <w:r>
        <w:fldChar w:fldCharType="end"/>
      </w:r>
      <w:r w:rsidRPr="003D13B8">
        <w:t xml:space="preserve">, </w:t>
      </w:r>
      <w:r>
        <w:fldChar w:fldCharType="begin"/>
      </w:r>
      <w:r>
        <w:instrText xml:space="preserve"> REF _Ref511302602 \r \h </w:instrText>
      </w:r>
      <w:r>
        <w:fldChar w:fldCharType="separate"/>
      </w:r>
      <w:r w:rsidR="005E7CC4">
        <w:t>15.7</w:t>
      </w:r>
      <w:r>
        <w:fldChar w:fldCharType="end"/>
      </w:r>
      <w:r w:rsidRPr="003D13B8">
        <w:t xml:space="preserve"> and </w:t>
      </w:r>
      <w:r>
        <w:fldChar w:fldCharType="begin"/>
      </w:r>
      <w:r>
        <w:instrText xml:space="preserve"> REF _Ref511302687 \r \h </w:instrText>
      </w:r>
      <w:r>
        <w:fldChar w:fldCharType="separate"/>
      </w:r>
      <w:r w:rsidR="005E7CC4">
        <w:t>15.8</w:t>
      </w:r>
      <w:r>
        <w:fldChar w:fldCharType="end"/>
      </w:r>
      <w:r w:rsidRPr="003D13B8">
        <w:t xml:space="preserve"> above, the Supplier shall</w:t>
      </w:r>
      <w:r w:rsidR="000A76AA">
        <w:t>:</w:t>
      </w:r>
      <w:r w:rsidRPr="003D13B8">
        <w:t xml:space="preserve"> </w:t>
      </w:r>
    </w:p>
    <w:p w14:paraId="57F7A57C" w14:textId="77777777" w:rsidR="003D13B8" w:rsidRPr="003D13B8" w:rsidRDefault="003D13B8" w:rsidP="003D13B8">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FC588F5" w14:textId="77777777" w:rsidR="003D13B8" w:rsidRPr="003D13B8" w:rsidRDefault="003D13B8" w:rsidP="003D13B8">
      <w:pPr>
        <w:pStyle w:val="MRheading30"/>
        <w:spacing w:before="60" w:after="160" w:line="276" w:lineRule="auto"/>
      </w:pPr>
      <w:bookmarkStart w:id="102" w:name="_Ref511302703"/>
      <w:r w:rsidRPr="003D13B8">
        <w:t>maintain accurate and up to date records of</w:t>
      </w:r>
      <w:bookmarkEnd w:id="102"/>
      <w:r w:rsidR="000A76AA">
        <w:t>:</w:t>
      </w:r>
    </w:p>
    <w:p w14:paraId="4264BB16" w14:textId="77777777" w:rsidR="003D13B8" w:rsidRPr="003D13B8" w:rsidRDefault="003D13B8" w:rsidP="003D13B8">
      <w:pPr>
        <w:pStyle w:val="MRheading40"/>
        <w:spacing w:before="60" w:after="160" w:line="276" w:lineRule="auto"/>
      </w:pPr>
      <w:r w:rsidRPr="003D13B8">
        <w:t>any requests to facilitate any UK tax evasion offence or any foreign tax evasion offence made to the Supplier or any Relevant Person in connection with the Services or with this Agreement either in the United Kingdom or elsewhere;</w:t>
      </w:r>
    </w:p>
    <w:p w14:paraId="5CC7F04F" w14:textId="77777777" w:rsidR="003D13B8" w:rsidRPr="003D13B8" w:rsidRDefault="003D13B8" w:rsidP="003D13B8">
      <w:pPr>
        <w:pStyle w:val="MRheading40"/>
        <w:spacing w:before="60" w:after="160" w:line="276" w:lineRule="auto"/>
      </w:pPr>
      <w:r w:rsidRPr="003D13B8">
        <w:t xml:space="preserve">any action taken by the Supplier or any Relevant Person to inform the relevant enforcement bodies or regulatory authorities that the Supplier or any Relevant Person has been requested to facilitate a UK tax evasion offence </w:t>
      </w:r>
      <w:r w:rsidRPr="003D13B8">
        <w:lastRenderedPageBreak/>
        <w:t>or a foreign tax evasion offence (except to the extent that the Supplier or any Relevant Person is prevented by law from doing so);</w:t>
      </w:r>
    </w:p>
    <w:p w14:paraId="26C4ED29" w14:textId="77777777" w:rsidR="003D13B8" w:rsidRPr="003D13B8" w:rsidRDefault="003D13B8" w:rsidP="003D13B8">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5E7CC4">
        <w:t>15</w:t>
      </w:r>
      <w:r>
        <w:fldChar w:fldCharType="end"/>
      </w:r>
      <w:r w:rsidRPr="003D13B8">
        <w:t xml:space="preserve"> and all training and guidance provided to Relevant Persons in respect of the obligations under this clause and applicable laws for the prevention of tax evasion;</w:t>
      </w:r>
    </w:p>
    <w:p w14:paraId="6C9AD104" w14:textId="77777777" w:rsidR="003D13B8" w:rsidRPr="003D13B8" w:rsidRDefault="003D13B8" w:rsidP="003D13B8">
      <w:pPr>
        <w:pStyle w:val="MRheading40"/>
        <w:spacing w:before="60" w:after="160" w:line="276" w:lineRule="auto"/>
      </w:pPr>
      <w:r w:rsidRPr="003D13B8">
        <w:t>the Supplier’s monitoring of compliance by Relevant Persons with applicable policies and procedures;</w:t>
      </w:r>
      <w:r w:rsidR="00323EAF">
        <w:t xml:space="preserve"> and</w:t>
      </w:r>
    </w:p>
    <w:p w14:paraId="5C4B2619" w14:textId="77777777" w:rsidR="003D13B8" w:rsidRPr="003D13B8" w:rsidRDefault="003D13B8" w:rsidP="003D13B8">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5E7CC4">
        <w:t>15</w:t>
      </w:r>
      <w:r>
        <w:fldChar w:fldCharType="end"/>
      </w:r>
      <w:r w:rsidR="00323EAF">
        <w:t>;</w:t>
      </w:r>
    </w:p>
    <w:p w14:paraId="04792642" w14:textId="77777777" w:rsidR="003D13B8" w:rsidRPr="003D13B8" w:rsidRDefault="003D13B8" w:rsidP="003D13B8">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5E7CC4">
        <w:t>15.9.2</w:t>
      </w:r>
      <w:r>
        <w:fldChar w:fldCharType="end"/>
      </w:r>
      <w:r w:rsidR="000A76AA">
        <w:t xml:space="preserve">; </w:t>
      </w:r>
      <w:r w:rsidRPr="003D13B8">
        <w:t>and</w:t>
      </w:r>
    </w:p>
    <w:p w14:paraId="68E4CA90" w14:textId="77777777" w:rsidR="003D13B8" w:rsidRPr="003D13B8" w:rsidRDefault="003D13B8" w:rsidP="003D13B8">
      <w:pPr>
        <w:pStyle w:val="MRheading30"/>
        <w:spacing w:before="60" w:after="160" w:line="276" w:lineRule="auto"/>
      </w:pPr>
      <w:r w:rsidRPr="003D13B8">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fldChar w:fldCharType="separate"/>
      </w:r>
      <w:r w:rsidR="005E7CC4">
        <w:t>15</w:t>
      </w:r>
      <w:r>
        <w:fldChar w:fldCharType="end"/>
      </w:r>
      <w:r w:rsidRPr="003D13B8">
        <w:t>.</w:t>
      </w:r>
    </w:p>
    <w:p w14:paraId="17F0E3D0" w14:textId="77777777" w:rsidR="003D13B8" w:rsidRPr="003D13B8" w:rsidRDefault="003D13B8" w:rsidP="003D13B8">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5E7CC4">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147CEA77" w14:textId="77777777" w:rsidR="003D13B8" w:rsidRDefault="003D13B8" w:rsidP="003D13B8">
      <w:pPr>
        <w:pStyle w:val="MRheading10"/>
        <w:spacing w:before="60" w:after="160" w:line="276" w:lineRule="auto"/>
      </w:pPr>
      <w:bookmarkStart w:id="103" w:name="_Ref468345959"/>
      <w:bookmarkStart w:id="104" w:name="_Ref205953980"/>
      <w:bookmarkStart w:id="105" w:name="_Toc207776122"/>
      <w:bookmarkStart w:id="106" w:name="_Toc207776270"/>
      <w:bookmarkEnd w:id="89"/>
      <w:bookmarkEnd w:id="90"/>
      <w:bookmarkEnd w:id="91"/>
      <w:r>
        <w:t>Data Processing</w:t>
      </w:r>
      <w:bookmarkEnd w:id="103"/>
    </w:p>
    <w:p w14:paraId="664AB92B" w14:textId="77777777" w:rsidR="003D13B8" w:rsidRPr="00DA0D89" w:rsidRDefault="003D13B8" w:rsidP="007F114F">
      <w:pPr>
        <w:pStyle w:val="MRheading20"/>
        <w:tabs>
          <w:tab w:val="num" w:pos="1492"/>
        </w:tabs>
        <w:spacing w:before="60" w:after="160" w:line="276" w:lineRule="auto"/>
      </w:pPr>
      <w:bookmarkStart w:id="107" w:name="_Ref511303529"/>
      <w:r w:rsidRPr="00DA0D89">
        <w:t>In this clause:</w:t>
      </w:r>
      <w:bookmarkEnd w:id="107"/>
    </w:p>
    <w:p w14:paraId="310A0928" w14:textId="77777777" w:rsidR="003D13B8" w:rsidRPr="00EA1C20" w:rsidRDefault="003D13B8" w:rsidP="007F114F">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
    <w:p w14:paraId="2C0C93CD" w14:textId="77777777" w:rsidR="003D13B8" w:rsidRPr="00F60EDE" w:rsidRDefault="003D13B8" w:rsidP="007F114F">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3F63EE5B" w14:textId="77777777" w:rsidR="003D13B8" w:rsidRPr="00C67465" w:rsidRDefault="003D13B8" w:rsidP="007F114F">
      <w:pPr>
        <w:pStyle w:val="MRheading30"/>
        <w:spacing w:before="60" w:after="160" w:line="276" w:lineRule="auto"/>
      </w:pPr>
      <w:r w:rsidRPr="00601B4D">
        <w:t>“</w:t>
      </w:r>
      <w:r w:rsidRPr="00C67465">
        <w:rPr>
          <w:b/>
        </w:rPr>
        <w:t>Data Subject</w:t>
      </w:r>
      <w:r w:rsidRPr="00C67465">
        <w:t>” has the same meaning as in the Data Protection Legislation;</w:t>
      </w:r>
    </w:p>
    <w:p w14:paraId="400E69EA" w14:textId="77777777" w:rsidR="003D13B8" w:rsidRPr="00C67465" w:rsidRDefault="003D13B8" w:rsidP="007F114F">
      <w:pPr>
        <w:pStyle w:val="MRheading30"/>
        <w:spacing w:before="60" w:after="160" w:line="276" w:lineRule="auto"/>
      </w:pPr>
      <w:r w:rsidRPr="00C67465">
        <w:t>“</w:t>
      </w:r>
      <w:r w:rsidRPr="00C67465">
        <w:rPr>
          <w:b/>
        </w:rPr>
        <w:t>DPA</w:t>
      </w:r>
      <w:r w:rsidRPr="00C67465">
        <w:t xml:space="preserve">” means the UK Data Protection Act </w:t>
      </w:r>
      <w:r w:rsidR="00691C00">
        <w:t>201</w:t>
      </w:r>
      <w:r w:rsidRPr="00C67465">
        <w:t>8;</w:t>
      </w:r>
    </w:p>
    <w:p w14:paraId="3A61C19B" w14:textId="77777777" w:rsidR="003D13B8" w:rsidRPr="00C67465" w:rsidRDefault="003D13B8" w:rsidP="007F114F">
      <w:pPr>
        <w:pStyle w:val="MRheading30"/>
        <w:spacing w:before="60" w:after="160" w:line="276" w:lineRule="auto"/>
      </w:pPr>
      <w:r w:rsidRPr="00C67465">
        <w:t>“</w:t>
      </w:r>
      <w:r w:rsidRPr="00C67465">
        <w:rPr>
          <w:b/>
        </w:rPr>
        <w:t>GDPR</w:t>
      </w:r>
      <w:r w:rsidRPr="00C67465">
        <w:t>” means the General Data Protection Regulation (EU) 2016/679;</w:t>
      </w:r>
    </w:p>
    <w:p w14:paraId="30457304" w14:textId="77777777" w:rsidR="003D13B8" w:rsidRPr="00C67465" w:rsidRDefault="003D13B8" w:rsidP="007F114F">
      <w:pPr>
        <w:pStyle w:val="MRheading30"/>
        <w:spacing w:before="60" w:after="160" w:line="276" w:lineRule="auto"/>
      </w:pPr>
      <w:r w:rsidRPr="00C67465">
        <w:t>“</w:t>
      </w:r>
      <w:r w:rsidRPr="00C67465">
        <w:rPr>
          <w:b/>
        </w:rPr>
        <w:t>International Organisation</w:t>
      </w:r>
      <w:r w:rsidRPr="00C67465">
        <w:t>” has the same meaning as in the GDPR;</w:t>
      </w:r>
    </w:p>
    <w:p w14:paraId="4D3AA9B4" w14:textId="77777777" w:rsidR="003D13B8" w:rsidRPr="00C67465" w:rsidRDefault="003D13B8" w:rsidP="007F114F">
      <w:pPr>
        <w:pStyle w:val="MRheading30"/>
        <w:spacing w:before="60" w:after="160" w:line="276" w:lineRule="auto"/>
      </w:pPr>
      <w:r w:rsidRPr="00C67465">
        <w:lastRenderedPageBreak/>
        <w:t>“</w:t>
      </w:r>
      <w:r w:rsidRPr="00C67465">
        <w:rPr>
          <w:b/>
        </w:rPr>
        <w:t>Personal Data</w:t>
      </w:r>
      <w:r w:rsidRPr="00C67465">
        <w:t>” means “personal data” (as defined in the Data Protection Legislation) that are Processed under this Agreement;</w:t>
      </w:r>
    </w:p>
    <w:p w14:paraId="667241D2" w14:textId="77777777" w:rsidR="003D13B8" w:rsidRPr="00C67465" w:rsidRDefault="003D13B8" w:rsidP="007F114F">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0C1505B" w14:textId="77777777" w:rsidR="003D13B8" w:rsidRPr="00C67465" w:rsidRDefault="003D13B8" w:rsidP="007F114F">
      <w:pPr>
        <w:pStyle w:val="MRheading30"/>
        <w:spacing w:before="60" w:after="160" w:line="276" w:lineRule="auto"/>
      </w:pPr>
      <w:r w:rsidRPr="00C67465">
        <w:t>“</w:t>
      </w:r>
      <w:r w:rsidRPr="00C67465">
        <w:rPr>
          <w:b/>
        </w:rPr>
        <w:t>Processing</w:t>
      </w:r>
      <w:r w:rsidRPr="00C67465">
        <w:t>” has the same meaning as in the Data Protection Legislation and “Process” and “Processed” shall be construed accordingly;</w:t>
      </w:r>
    </w:p>
    <w:p w14:paraId="02B938B9" w14:textId="77777777" w:rsidR="003D13B8" w:rsidRPr="00C67465" w:rsidRDefault="003D13B8" w:rsidP="007F114F">
      <w:pPr>
        <w:pStyle w:val="MRheading30"/>
        <w:spacing w:before="60" w:after="160" w:line="276" w:lineRule="auto"/>
      </w:pPr>
      <w:r w:rsidRPr="00C67465">
        <w:t>“</w:t>
      </w:r>
      <w:r w:rsidRPr="00C67465">
        <w:rPr>
          <w:b/>
        </w:rPr>
        <w:t>Processor</w:t>
      </w:r>
      <w:r w:rsidRPr="00C67465">
        <w:t>” means a “processor” for the purposes of the GDPR (as such legislation is applicable);</w:t>
      </w:r>
    </w:p>
    <w:p w14:paraId="7155357D" w14:textId="77777777" w:rsidR="003D13B8" w:rsidRPr="00C67465" w:rsidRDefault="003D13B8" w:rsidP="007F114F">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Data on behalf of the Processor; and</w:t>
      </w:r>
    </w:p>
    <w:p w14:paraId="695D18F5" w14:textId="77777777" w:rsidR="003D13B8" w:rsidRPr="00C67465" w:rsidRDefault="003D13B8" w:rsidP="007F114F">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403AC2FD" w14:textId="77777777" w:rsidR="003D13B8" w:rsidRPr="00DA0D89" w:rsidRDefault="003D13B8" w:rsidP="007F114F">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C67465">
        <w:t>Supplier</w:t>
      </w:r>
      <w:r w:rsidRPr="00C67465">
        <w:t xml:space="preserve"> </w:t>
      </w:r>
      <w:r w:rsidRPr="00DA0D89">
        <w:t>is the Processor</w:t>
      </w:r>
      <w:r w:rsidR="00691C00">
        <w:t xml:space="preserve"> in respect of the Personal Data</w:t>
      </w:r>
      <w:r w:rsidRPr="00DA0D89">
        <w:t>.</w:t>
      </w:r>
    </w:p>
    <w:p w14:paraId="0F44B3DD" w14:textId="77777777" w:rsidR="003D13B8" w:rsidRPr="00DA0D89" w:rsidRDefault="003D13B8" w:rsidP="007F114F">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5E7CC4">
        <w:t>Schedule 5</w:t>
      </w:r>
      <w:r w:rsidR="00C67465">
        <w:fldChar w:fldCharType="end"/>
      </w:r>
      <w:r>
        <w:t xml:space="preserve"> to this Agreement</w:t>
      </w:r>
      <w:r w:rsidRPr="00DA0D89">
        <w:t>.</w:t>
      </w:r>
    </w:p>
    <w:p w14:paraId="15176F9E" w14:textId="77777777" w:rsidR="003D13B8" w:rsidRPr="00DA0D89" w:rsidRDefault="003D13B8" w:rsidP="007F114F">
      <w:pPr>
        <w:pStyle w:val="MRheading20"/>
        <w:tabs>
          <w:tab w:val="num" w:pos="1492"/>
        </w:tabs>
        <w:spacing w:before="60" w:after="160" w:line="276" w:lineRule="auto"/>
      </w:pPr>
      <w:bookmarkStart w:id="108" w:name="_Ref511303538"/>
      <w:r w:rsidRPr="00DA0D89">
        <w:t xml:space="preserve">The </w:t>
      </w:r>
      <w:r w:rsidR="00C67465">
        <w:t>Supplier</w:t>
      </w:r>
      <w:r w:rsidRPr="00DA0D89">
        <w:t xml:space="preserve"> shall:</w:t>
      </w:r>
      <w:bookmarkEnd w:id="108"/>
    </w:p>
    <w:p w14:paraId="4E665591" w14:textId="77777777" w:rsidR="003D13B8" w:rsidRDefault="00691C00" w:rsidP="007F114F">
      <w:pPr>
        <w:pStyle w:val="MRheading30"/>
        <w:spacing w:before="60" w:after="160" w:line="276" w:lineRule="auto"/>
      </w:pPr>
      <w:r>
        <w:t>P</w:t>
      </w:r>
      <w:r w:rsidR="003D13B8"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003D13B8" w:rsidRPr="00C67465">
        <w:t xml:space="preserve">which </w:t>
      </w:r>
      <w:r w:rsidR="00C67465" w:rsidRPr="00C67465">
        <w:t>the</w:t>
      </w:r>
      <w:r w:rsidR="00C67465">
        <w:rPr>
          <w:b/>
        </w:rPr>
        <w:t xml:space="preserve"> </w:t>
      </w:r>
      <w:r w:rsidR="00C67465">
        <w:t>Supplier</w:t>
      </w:r>
      <w:r w:rsidR="003D13B8" w:rsidRPr="00A52AAE">
        <w:t xml:space="preserve"> Processes the Personal Data; or unless otherwise required by laws outside the European Union in which</w:t>
      </w:r>
      <w:r w:rsidR="00C67465">
        <w:t xml:space="preserve"> the Supplier</w:t>
      </w:r>
      <w:r w:rsidR="003D13B8" w:rsidRPr="00A52AAE">
        <w:t xml:space="preserve"> Processes the Personal Data as referred to in </w:t>
      </w:r>
      <w:r w:rsidR="00C67465">
        <w:fldChar w:fldCharType="begin"/>
      </w:r>
      <w:r w:rsidR="00C67465">
        <w:instrText xml:space="preserve"> REF _Ref511303307 \r \h </w:instrText>
      </w:r>
      <w:r w:rsidR="00C67465">
        <w:fldChar w:fldCharType="separate"/>
      </w:r>
      <w:r w:rsidR="005E7CC4">
        <w:t>16.5.3</w:t>
      </w:r>
      <w:r w:rsidR="00C67465">
        <w:fldChar w:fldCharType="end"/>
      </w:r>
      <w:r w:rsidR="003D13B8" w:rsidRPr="00A52AAE">
        <w:t xml:space="preserve">); </w:t>
      </w:r>
    </w:p>
    <w:p w14:paraId="0F27C5C9" w14:textId="77777777" w:rsidR="003D13B8" w:rsidRPr="00A52AAE" w:rsidRDefault="003D13B8" w:rsidP="007F114F">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5DBCD87D" w14:textId="77777777" w:rsidR="003D13B8" w:rsidRPr="00A52AAE" w:rsidRDefault="003D13B8" w:rsidP="007F114F">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rocess the Personal Data;</w:t>
      </w:r>
      <w:r w:rsidRPr="00A52AAE">
        <w:t xml:space="preserve"> </w:t>
      </w:r>
    </w:p>
    <w:p w14:paraId="4D89E83F" w14:textId="77777777" w:rsidR="003D13B8" w:rsidRPr="00A52AAE" w:rsidRDefault="003D13B8" w:rsidP="007F114F">
      <w:pPr>
        <w:pStyle w:val="MRheading30"/>
        <w:spacing w:before="60" w:after="160" w:line="276" w:lineRule="auto"/>
      </w:pPr>
      <w:r w:rsidRPr="00A52AAE">
        <w:lastRenderedPageBreak/>
        <w:t xml:space="preserve">ensure that any employees or other persons authorised to </w:t>
      </w:r>
      <w:r w:rsidR="00691C00">
        <w:t>P</w:t>
      </w:r>
      <w:r w:rsidRPr="00A52AAE">
        <w:t xml:space="preserve">rocess the Personal Data are: </w:t>
      </w:r>
    </w:p>
    <w:p w14:paraId="686CCF4B" w14:textId="77777777" w:rsidR="003D13B8" w:rsidRPr="001B0864" w:rsidRDefault="003D13B8" w:rsidP="003D13B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1513B63B" w14:textId="77777777" w:rsidR="003D13B8" w:rsidRPr="001B0864" w:rsidRDefault="003D13B8" w:rsidP="003D13B8">
      <w:pPr>
        <w:pStyle w:val="MRHeading4"/>
        <w:tabs>
          <w:tab w:val="num" w:pos="1800"/>
        </w:tabs>
        <w:spacing w:before="60" w:after="160" w:line="276" w:lineRule="auto"/>
        <w:rPr>
          <w:rFonts w:cs="Arial"/>
        </w:rPr>
      </w:pPr>
      <w:r w:rsidRPr="001B0864">
        <w:rPr>
          <w:rFonts w:cs="Arial"/>
        </w:rPr>
        <w:t>subject to adequate training in the use, protection and handling of personal data;</w:t>
      </w:r>
    </w:p>
    <w:p w14:paraId="6641A08C" w14:textId="77777777" w:rsidR="003D13B8" w:rsidRPr="00C67465" w:rsidRDefault="003D13B8" w:rsidP="007F114F">
      <w:pPr>
        <w:pStyle w:val="MRheading30"/>
        <w:spacing w:before="60" w:after="160" w:line="276" w:lineRule="auto"/>
      </w:pPr>
      <w:bookmarkStart w:id="109"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5E7CC4">
        <w:t>16.4.5</w:t>
      </w:r>
      <w:r w:rsidR="00C67465">
        <w:fldChar w:fldCharType="end"/>
      </w:r>
      <w:r w:rsidRPr="00C67465">
        <w:t xml:space="preserve"> and the </w:t>
      </w:r>
      <w:r w:rsidR="00C67465">
        <w:t>Supplier</w:t>
      </w:r>
      <w:r w:rsidRPr="00C67465">
        <w:t xml:space="preserve"> shall provide such evidence within three working days;</w:t>
      </w:r>
      <w:bookmarkEnd w:id="109"/>
    </w:p>
    <w:p w14:paraId="0AA2AE12" w14:textId="77777777" w:rsidR="003D13B8" w:rsidRDefault="003D13B8" w:rsidP="007F114F">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45AB102D" w14:textId="77777777" w:rsidR="003D13B8" w:rsidRDefault="003D13B8" w:rsidP="007F114F">
      <w:pPr>
        <w:pStyle w:val="MRHeading4"/>
        <w:numPr>
          <w:ilvl w:val="3"/>
          <w:numId w:val="24"/>
        </w:numPr>
        <w:tabs>
          <w:tab w:val="num" w:pos="1800"/>
        </w:tabs>
        <w:spacing w:before="60" w:after="160" w:line="276" w:lineRule="auto"/>
      </w:pPr>
      <w:r>
        <w:t>carrying out and/or reviewing data protection impact assessments where necessary in accordance with Article 35 of the General Data Protection Regulation;</w:t>
      </w:r>
    </w:p>
    <w:p w14:paraId="58B2D32B" w14:textId="77777777" w:rsidR="003D13B8" w:rsidRDefault="003D13B8" w:rsidP="003D13B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627DCF3A" w14:textId="77777777" w:rsidR="003D13B8" w:rsidRDefault="003D13B8" w:rsidP="003D13B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675CCFE5" w14:textId="77777777" w:rsidR="003D13B8" w:rsidRDefault="003D13B8" w:rsidP="003D13B8">
      <w:pPr>
        <w:pStyle w:val="MRHeading5"/>
        <w:tabs>
          <w:tab w:val="num" w:pos="1800"/>
        </w:tabs>
        <w:spacing w:before="60" w:after="160" w:line="276" w:lineRule="auto"/>
      </w:pPr>
      <w:r>
        <w:t>deleting and/or rectifying Personal Data in response to a request from a Data Subject; and</w:t>
      </w:r>
    </w:p>
    <w:p w14:paraId="4CFA387A" w14:textId="77777777" w:rsidR="003D13B8" w:rsidRDefault="003D13B8" w:rsidP="007F114F">
      <w:pPr>
        <w:pStyle w:val="MRheading30"/>
        <w:spacing w:before="60" w:after="160" w:line="276" w:lineRule="auto"/>
        <w:rPr>
          <w:rFonts w:cs="Arial"/>
        </w:rPr>
      </w:pPr>
      <w:r w:rsidRPr="001331E1">
        <w:t xml:space="preserve">not </w:t>
      </w:r>
      <w:r w:rsidR="00691C00">
        <w:t>P</w:t>
      </w:r>
      <w:r w:rsidRPr="001331E1">
        <w:t xml:space="preserve">rocess or otherwise transfer any Personal Data outside the European Economic Area without prior written consent from </w:t>
      </w:r>
      <w:r>
        <w:t xml:space="preserve">the British Council </w:t>
      </w:r>
      <w:r>
        <w:rPr>
          <w:rFonts w:cs="Arial"/>
        </w:rPr>
        <w:t>and</w:t>
      </w:r>
      <w:r w:rsidR="00691C00">
        <w:rPr>
          <w:rFonts w:cs="Arial"/>
        </w:rPr>
        <w:t>, where such consent is given,</w:t>
      </w:r>
      <w:r>
        <w:rPr>
          <w:rFonts w:cs="Arial"/>
        </w:rPr>
        <w:t xml:space="preserve">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shall comply with the following conditions</w:t>
      </w:r>
      <w:r w:rsidRPr="009E2E6E">
        <w:rPr>
          <w:rFonts w:cs="Arial"/>
        </w:rPr>
        <w:t>;</w:t>
      </w:r>
    </w:p>
    <w:p w14:paraId="7E5D6286" w14:textId="77777777" w:rsidR="003D13B8" w:rsidRPr="00D40ACA" w:rsidRDefault="003D13B8" w:rsidP="007F114F">
      <w:pPr>
        <w:pStyle w:val="MRHeading4"/>
        <w:numPr>
          <w:ilvl w:val="3"/>
          <w:numId w:val="25"/>
        </w:numPr>
        <w:tabs>
          <w:tab w:val="num" w:pos="1800"/>
        </w:tabs>
        <w:spacing w:before="60" w:after="160" w:line="276" w:lineRule="auto"/>
      </w:pPr>
      <w:r w:rsidRPr="00D40ACA">
        <w:t>provide appropriate safeguards in relation to the transfer;</w:t>
      </w:r>
    </w:p>
    <w:p w14:paraId="468EF09E" w14:textId="77777777" w:rsidR="003D13B8" w:rsidRPr="00D40ACA" w:rsidRDefault="003D13B8" w:rsidP="003D13B8">
      <w:pPr>
        <w:pStyle w:val="MRHeading4"/>
        <w:tabs>
          <w:tab w:val="num" w:pos="1800"/>
        </w:tabs>
        <w:spacing w:before="60" w:after="160" w:line="276" w:lineRule="auto"/>
      </w:pPr>
      <w:r w:rsidRPr="00D40ACA">
        <w:t>ensure the Data Subject has enforceable rights and effective legal remedies;</w:t>
      </w:r>
    </w:p>
    <w:p w14:paraId="2DD15820" w14:textId="77777777" w:rsidR="003D13B8" w:rsidRPr="00D40ACA" w:rsidRDefault="003D13B8" w:rsidP="003D13B8">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transferred; </w:t>
      </w:r>
    </w:p>
    <w:p w14:paraId="1AC370D1" w14:textId="77777777" w:rsidR="003D13B8" w:rsidRPr="00D40ACA" w:rsidRDefault="003D13B8" w:rsidP="003D13B8">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372B52DC" w14:textId="77777777" w:rsidR="003D13B8" w:rsidRPr="00D40ACA" w:rsidRDefault="003D13B8" w:rsidP="003D13B8">
      <w:pPr>
        <w:pStyle w:val="MRHeading4"/>
        <w:tabs>
          <w:tab w:val="num" w:pos="1800"/>
        </w:tabs>
        <w:spacing w:before="60" w:after="160" w:line="276" w:lineRule="auto"/>
      </w:pPr>
      <w:r w:rsidRPr="00D40ACA">
        <w:lastRenderedPageBreak/>
        <w:t>only transfer Personal Data outside the European Economic Area provided that it meets the relevant requirements under Articles 44 to 50 of the GDPR.</w:t>
      </w:r>
    </w:p>
    <w:p w14:paraId="2E77D49D" w14:textId="77777777" w:rsidR="003D13B8" w:rsidRPr="00E53204" w:rsidRDefault="003D13B8" w:rsidP="007F114F">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07D3D5A6" w14:textId="77777777" w:rsidR="003D13B8" w:rsidRDefault="003D13B8" w:rsidP="007F114F">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43E6A948" w14:textId="77777777" w:rsidR="003D13B8" w:rsidRPr="004A7301" w:rsidRDefault="003D13B8" w:rsidP="007F114F">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637F5325" w14:textId="77777777" w:rsidR="003D13B8" w:rsidRPr="004A7301" w:rsidRDefault="003D13B8" w:rsidP="007F114F">
      <w:pPr>
        <w:pStyle w:val="MRheading30"/>
        <w:spacing w:before="60" w:after="160" w:line="276" w:lineRule="auto"/>
      </w:pPr>
      <w:bookmarkStart w:id="110"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0"/>
    </w:p>
    <w:p w14:paraId="43DA18FF" w14:textId="77777777" w:rsidR="003D13B8" w:rsidRPr="004A7301" w:rsidRDefault="003D13B8" w:rsidP="007F114F">
      <w:pPr>
        <w:pStyle w:val="MRheading30"/>
        <w:spacing w:before="60" w:after="160" w:line="276" w:lineRule="auto"/>
      </w:pPr>
      <w:r w:rsidRPr="004A7301">
        <w:t xml:space="preserve">(and in any event within </w:t>
      </w:r>
      <w:bookmarkStart w:id="111" w:name="Text1"/>
      <w:r>
        <w:t xml:space="preserve">3 </w:t>
      </w:r>
      <w:bookmarkEnd w:id="111"/>
      <w:r w:rsidRPr="004A7301">
        <w:t>days) of:</w:t>
      </w:r>
    </w:p>
    <w:p w14:paraId="13F0B6F8" w14:textId="77777777" w:rsidR="003D13B8" w:rsidRPr="004A7301" w:rsidRDefault="003D13B8" w:rsidP="007F114F">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3673FFDC" w14:textId="77777777" w:rsidR="003D13B8" w:rsidRPr="004A7301" w:rsidRDefault="003D13B8" w:rsidP="003D13B8">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16229837" w14:textId="77777777" w:rsidR="003D13B8" w:rsidRDefault="003D13B8" w:rsidP="000A76AA">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Sub-Processor or the British Council.</w:t>
      </w:r>
    </w:p>
    <w:p w14:paraId="5A84613F" w14:textId="77777777" w:rsidR="003D13B8" w:rsidRDefault="003D13B8" w:rsidP="007F114F">
      <w:pPr>
        <w:pStyle w:val="MRheading20"/>
        <w:tabs>
          <w:tab w:val="num" w:pos="1492"/>
        </w:tabs>
        <w:spacing w:before="60" w:after="160" w:line="276" w:lineRule="auto"/>
      </w:pPr>
      <w:bookmarkStart w:id="112" w:name="_Ref468348173"/>
      <w:r>
        <w:t xml:space="preserve">The </w:t>
      </w:r>
      <w:r w:rsidR="00C67465">
        <w:t xml:space="preserve">Supplier </w:t>
      </w:r>
      <w:r>
        <w:t>shall:</w:t>
      </w:r>
      <w:bookmarkEnd w:id="112"/>
    </w:p>
    <w:p w14:paraId="1F3AF760" w14:textId="77777777" w:rsidR="003D13B8" w:rsidRDefault="003D13B8" w:rsidP="007F114F">
      <w:pPr>
        <w:pStyle w:val="MRheading30"/>
        <w:spacing w:before="60" w:after="160" w:line="276" w:lineRule="auto"/>
      </w:pPr>
      <w:bookmarkStart w:id="113"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113"/>
      <w:r>
        <w:t xml:space="preserve">  </w:t>
      </w:r>
    </w:p>
    <w:p w14:paraId="0673D3ED" w14:textId="77777777" w:rsidR="003D13B8" w:rsidRDefault="003D13B8" w:rsidP="007F114F">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40DB4B70" w14:textId="77777777" w:rsidR="003D13B8" w:rsidRDefault="003D13B8" w:rsidP="007F114F">
      <w:pPr>
        <w:pStyle w:val="MRheading30"/>
        <w:spacing w:before="60" w:after="160" w:line="276" w:lineRule="auto"/>
      </w:pPr>
      <w:bookmarkStart w:id="114" w:name="_Hlk506493859"/>
      <w:r>
        <w:t xml:space="preserve">provide prompt assistance as requested by the British Council following the notification of an actual, suspected or threatened Personal Data Breach referred to in </w:t>
      </w:r>
      <w:r w:rsidR="00C67465">
        <w:fldChar w:fldCharType="begin"/>
      </w:r>
      <w:r w:rsidR="00C67465">
        <w:instrText xml:space="preserve"> REF _Ref511303418 \r \h </w:instrText>
      </w:r>
      <w:r w:rsidR="00C67465">
        <w:fldChar w:fldCharType="separate"/>
      </w:r>
      <w:r w:rsidR="005E7CC4">
        <w:t>16.6.1</w:t>
      </w:r>
      <w:r w:rsidR="00C67465">
        <w:fldChar w:fldCharType="end"/>
      </w:r>
      <w:r w:rsidR="000A76AA">
        <w:t>.</w:t>
      </w:r>
      <w:r>
        <w:t xml:space="preserve"> </w:t>
      </w:r>
    </w:p>
    <w:bookmarkEnd w:id="114"/>
    <w:p w14:paraId="59175A51" w14:textId="77777777" w:rsidR="003D13B8" w:rsidRDefault="003D13B8" w:rsidP="007F114F">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5E7CC4">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2E2FBB28" w14:textId="77777777" w:rsidR="003D13B8" w:rsidRPr="00386295" w:rsidRDefault="003D13B8" w:rsidP="007F114F">
      <w:pPr>
        <w:pStyle w:val="MRheading20"/>
        <w:tabs>
          <w:tab w:val="num" w:pos="1492"/>
        </w:tabs>
        <w:spacing w:before="60" w:after="160" w:line="276" w:lineRule="auto"/>
      </w:pPr>
      <w:bookmarkStart w:id="115" w:name="_Ref468348523"/>
      <w:bookmarkStart w:id="116"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15"/>
      <w:r>
        <w:t xml:space="preserve">and </w:t>
      </w:r>
      <w:r w:rsidRPr="00C67465">
        <w:t xml:space="preserve">on request by the British Council, make </w:t>
      </w:r>
      <w:r w:rsidRPr="00C67465">
        <w:lastRenderedPageBreak/>
        <w:t xml:space="preserve">available all information necessary to demonstrate </w:t>
      </w:r>
      <w:r w:rsidR="00C67465">
        <w:t>the Supplier’</w:t>
      </w:r>
      <w:r w:rsidRPr="00C67465">
        <w:t>s compliance under Data Protection Legislation and the terms of this Agreement.</w:t>
      </w:r>
      <w:bookmarkEnd w:id="116"/>
      <w:r w:rsidRPr="00C67465">
        <w:t xml:space="preserve"> </w:t>
      </w:r>
    </w:p>
    <w:p w14:paraId="7C399CDF" w14:textId="77777777" w:rsidR="003D13B8" w:rsidRDefault="003D13B8" w:rsidP="007F114F">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5E7CC4">
        <w:t>16.8</w:t>
      </w:r>
      <w:r w:rsidR="00C67465">
        <w:fldChar w:fldCharType="end"/>
      </w:r>
      <w:r w:rsidRPr="00C67465">
        <w:t>.</w:t>
      </w:r>
    </w:p>
    <w:p w14:paraId="216EF781" w14:textId="77777777" w:rsidR="003D13B8" w:rsidRDefault="003D13B8" w:rsidP="007F114F">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79237DD8" w14:textId="77777777" w:rsidR="003D13B8" w:rsidRPr="00C67465" w:rsidRDefault="003D13B8" w:rsidP="007F114F">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 xml:space="preserve">the British Council Entities against all Personal Data losses suffered or incurred by, awarded against or agreed to be paid by, the  British Council  or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332CEB9F" w14:textId="77777777" w:rsidR="003D13B8" w:rsidRPr="00C67465" w:rsidRDefault="003D13B8" w:rsidP="007F114F">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shall provide confirmation of destruction of any other copies including details of the date, time and method of destruction.</w:t>
      </w:r>
    </w:p>
    <w:p w14:paraId="750BADA8" w14:textId="77777777" w:rsidR="003D13B8" w:rsidRPr="00C67465" w:rsidRDefault="003D13B8" w:rsidP="007F114F">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00C67465">
        <w:fldChar w:fldCharType="begin"/>
      </w:r>
      <w:r w:rsidR="00C67465">
        <w:instrText xml:space="preserve"> REF _Ref511303529 \r \h </w:instrText>
      </w:r>
      <w:r w:rsidR="00C67465">
        <w:fldChar w:fldCharType="separate"/>
      </w:r>
      <w:r w:rsidR="005E7CC4">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5E7CC4">
        <w:t>16.4</w:t>
      </w:r>
      <w:r w:rsidR="00C67465">
        <w:fldChar w:fldCharType="end"/>
      </w:r>
      <w:r w:rsidR="00C67465">
        <w:t xml:space="preserve"> </w:t>
      </w:r>
      <w:r w:rsidRPr="00C67465">
        <w:t>above.</w:t>
      </w:r>
    </w:p>
    <w:p w14:paraId="5D52AB0A" w14:textId="77777777" w:rsidR="00691B5C" w:rsidRPr="00691B5C" w:rsidRDefault="00691B5C" w:rsidP="00691B5C">
      <w:pPr>
        <w:pStyle w:val="MRheading10"/>
        <w:spacing w:before="60" w:after="160" w:line="276" w:lineRule="auto"/>
        <w:rPr>
          <w:rFonts w:cs="Arial"/>
          <w:szCs w:val="22"/>
        </w:rPr>
      </w:pPr>
      <w:r w:rsidRPr="00691B5C">
        <w:rPr>
          <w:rFonts w:cs="Arial"/>
          <w:szCs w:val="22"/>
        </w:rPr>
        <w:t>Audit</w:t>
      </w:r>
      <w:bookmarkEnd w:id="104"/>
      <w:bookmarkEnd w:id="105"/>
      <w:bookmarkEnd w:id="106"/>
    </w:p>
    <w:p w14:paraId="45387F0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1E01FF">
        <w:rPr>
          <w:rFonts w:cs="Arial"/>
          <w:szCs w:val="22"/>
        </w:rPr>
        <w:t>Supplier</w:t>
      </w:r>
      <w:r w:rsidRPr="00691B5C">
        <w:rPr>
          <w:rFonts w:cs="Arial"/>
          <w:szCs w:val="22"/>
        </w:rPr>
        <w:t xml:space="preserve"> (and to take copies of records and documents and interview members of the </w:t>
      </w:r>
      <w:r w:rsidR="001E01FF">
        <w:rPr>
          <w:rFonts w:cs="Arial"/>
          <w:szCs w:val="22"/>
        </w:rPr>
        <w:t>Supplier</w:t>
      </w:r>
      <w:r w:rsidRPr="00691B5C">
        <w:rPr>
          <w:rFonts w:cs="Arial"/>
          <w:szCs w:val="22"/>
        </w:rPr>
        <w:t xml:space="preserve">’s Team) relating to the performance of the Services and to the accuracy of the Charges.  The </w:t>
      </w:r>
      <w:r w:rsidR="001E01FF">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sidR="001E01FF">
        <w:rPr>
          <w:rFonts w:cs="Arial"/>
          <w:szCs w:val="22"/>
        </w:rPr>
        <w:t>Supplier</w:t>
      </w:r>
      <w:r w:rsidRPr="00691B5C">
        <w:rPr>
          <w:rFonts w:cs="Arial"/>
          <w:szCs w:val="22"/>
        </w:rPr>
        <w:t xml:space="preserve"> in writing from time to time.</w:t>
      </w:r>
    </w:p>
    <w:p w14:paraId="57B73B6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w:t>
      </w:r>
      <w:r w:rsidRPr="00691B5C">
        <w:rPr>
          <w:rFonts w:cs="Arial"/>
          <w:szCs w:val="22"/>
        </w:rPr>
        <w:lastRenderedPageBreak/>
        <w:t xml:space="preserve">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5E2FBC1C" w14:textId="77777777" w:rsidR="00691B5C" w:rsidRPr="00691B5C" w:rsidRDefault="00691B5C" w:rsidP="00691B5C">
      <w:pPr>
        <w:pStyle w:val="MRheading10"/>
        <w:spacing w:before="60" w:after="160" w:line="276" w:lineRule="auto"/>
        <w:rPr>
          <w:rFonts w:cs="Arial"/>
          <w:szCs w:val="22"/>
        </w:rPr>
      </w:pPr>
      <w:bookmarkStart w:id="117" w:name="_Toc207776124"/>
      <w:bookmarkStart w:id="118" w:name="_Toc207776272"/>
      <w:r w:rsidRPr="00691B5C">
        <w:rPr>
          <w:rFonts w:cs="Arial"/>
          <w:szCs w:val="22"/>
        </w:rPr>
        <w:t>Publicity</w:t>
      </w:r>
      <w:bookmarkEnd w:id="117"/>
      <w:bookmarkEnd w:id="118"/>
    </w:p>
    <w:p w14:paraId="2BBA50C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26521636" w14:textId="77777777" w:rsidR="00691B5C" w:rsidRPr="00691B5C" w:rsidRDefault="00691B5C" w:rsidP="00691B5C">
      <w:pPr>
        <w:pStyle w:val="MRheading10"/>
        <w:spacing w:before="60" w:after="160" w:line="276" w:lineRule="auto"/>
        <w:rPr>
          <w:rFonts w:cs="Arial"/>
          <w:szCs w:val="22"/>
        </w:rPr>
      </w:pPr>
      <w:bookmarkStart w:id="119" w:name="_Ref205954106"/>
      <w:bookmarkStart w:id="120" w:name="_Toc207776128"/>
      <w:bookmarkStart w:id="121" w:name="_Toc207776276"/>
      <w:r w:rsidRPr="00691B5C">
        <w:rPr>
          <w:rFonts w:cs="Arial"/>
          <w:szCs w:val="22"/>
        </w:rPr>
        <w:t>Health and Safety</w:t>
      </w:r>
      <w:bookmarkEnd w:id="119"/>
      <w:bookmarkEnd w:id="120"/>
      <w:bookmarkEnd w:id="121"/>
    </w:p>
    <w:p w14:paraId="6A9E0B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29B573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5223FC50" w14:textId="77777777" w:rsidR="00691B5C" w:rsidRPr="00691B5C" w:rsidRDefault="00691B5C" w:rsidP="00691B5C">
      <w:pPr>
        <w:pStyle w:val="MRheading10"/>
        <w:spacing w:before="60" w:after="160" w:line="276" w:lineRule="auto"/>
        <w:rPr>
          <w:rFonts w:cs="Arial"/>
          <w:szCs w:val="22"/>
        </w:rPr>
      </w:pPr>
      <w:bookmarkStart w:id="122" w:name="_Toc207776129"/>
      <w:bookmarkStart w:id="123" w:name="_Toc207776277"/>
      <w:r w:rsidRPr="00691B5C">
        <w:rPr>
          <w:rFonts w:cs="Arial"/>
          <w:szCs w:val="22"/>
        </w:rPr>
        <w:t>Employees</w:t>
      </w:r>
      <w:bookmarkEnd w:id="122"/>
      <w:bookmarkEnd w:id="123"/>
    </w:p>
    <w:p w14:paraId="1225939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2A3FE25F" w14:textId="77777777" w:rsidR="00691B5C" w:rsidRPr="00691B5C" w:rsidRDefault="00691B5C" w:rsidP="00691B5C">
      <w:pPr>
        <w:pStyle w:val="MRheading10"/>
        <w:spacing w:before="60" w:after="160" w:line="276" w:lineRule="auto"/>
        <w:rPr>
          <w:rFonts w:cs="Arial"/>
          <w:szCs w:val="22"/>
        </w:rPr>
      </w:pPr>
      <w:bookmarkStart w:id="124" w:name="_Ref447620328"/>
      <w:r w:rsidRPr="00691B5C">
        <w:rPr>
          <w:rFonts w:cs="Arial"/>
          <w:szCs w:val="22"/>
        </w:rPr>
        <w:t>Safeguarding and Protecting Children and Vulnerable Adults</w:t>
      </w:r>
      <w:bookmarkEnd w:id="124"/>
    </w:p>
    <w:bookmarkEnd w:id="8"/>
    <w:p w14:paraId="783B47B9" w14:textId="77777777" w:rsidR="00144891" w:rsidRPr="00C878AE" w:rsidRDefault="00C878AE" w:rsidP="007F114F">
      <w:pPr>
        <w:pStyle w:val="MRheading20"/>
        <w:numPr>
          <w:ilvl w:val="1"/>
          <w:numId w:val="20"/>
        </w:numPr>
        <w:spacing w:before="60" w:after="160" w:line="276" w:lineRule="auto"/>
        <w:outlineLvl w:val="9"/>
        <w:rPr>
          <w:rFonts w:cs="Arial"/>
        </w:rPr>
      </w:pPr>
      <w:r>
        <w:rPr>
          <w:rFonts w:cs="Arial"/>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0ABD79C7"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62C7CCB6" w14:textId="77777777" w:rsidR="00FD5C57" w:rsidRPr="00FD5C57" w:rsidRDefault="00FD5C57" w:rsidP="007F114F">
      <w:pPr>
        <w:pStyle w:val="MRheading20"/>
        <w:numPr>
          <w:ilvl w:val="1"/>
          <w:numId w:val="20"/>
        </w:numPr>
        <w:spacing w:before="60" w:after="160" w:line="276" w:lineRule="auto"/>
        <w:rPr>
          <w:rFonts w:cs="Arial"/>
        </w:rPr>
      </w:pPr>
      <w:bookmarkStart w:id="125" w:name="_Ref455748416"/>
      <w:r w:rsidRPr="00FD5C57">
        <w:rPr>
          <w:rFonts w:cs="Arial"/>
        </w:rPr>
        <w:t>The Supplier shall:</w:t>
      </w:r>
      <w:bookmarkEnd w:id="125"/>
    </w:p>
    <w:p w14:paraId="403FD7CE"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chain; </w:t>
      </w:r>
    </w:p>
    <w:p w14:paraId="554A4D1A" w14:textId="77777777" w:rsidR="00FD5C57" w:rsidRPr="00FD5C57" w:rsidRDefault="00FD5C57" w:rsidP="00FD5C57">
      <w:pPr>
        <w:pStyle w:val="MRheading30"/>
        <w:spacing w:before="60" w:after="160" w:line="276" w:lineRule="auto"/>
      </w:pPr>
      <w:r w:rsidRPr="00FD5C57">
        <w:lastRenderedPageBreak/>
        <w:t>implement due diligence procedures for its own suppliers, subcontractors and other participants in its supply chains, to ensure that there is no slavery or human trafficking in its supply chains;</w:t>
      </w:r>
    </w:p>
    <w:p w14:paraId="2F750BF9"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725FC495"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46383642" w14:textId="77777777" w:rsidR="002204B2" w:rsidRPr="00203F4E" w:rsidRDefault="002204B2" w:rsidP="002204B2">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5E7CC4">
        <w:t>22.1</w:t>
      </w:r>
      <w:r>
        <w:fldChar w:fldCharType="end"/>
      </w:r>
      <w:r w:rsidRPr="00203F4E">
        <w:t>, without prejudice to any other rights or remedies which the British Council may have, the British Council shall be entitled to:</w:t>
      </w:r>
    </w:p>
    <w:p w14:paraId="30D3E13E" w14:textId="77777777" w:rsidR="002204B2" w:rsidRPr="00203F4E" w:rsidRDefault="002204B2" w:rsidP="002204B2">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68718AC2" w14:textId="77777777" w:rsidR="002204B2" w:rsidRPr="00203F4E" w:rsidRDefault="002204B2" w:rsidP="002204B2">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147C46AF" w14:textId="77777777" w:rsidR="002204B2" w:rsidRPr="00203F4E" w:rsidRDefault="002204B2" w:rsidP="002204B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7940D834" w14:textId="77777777" w:rsidR="002204B2" w:rsidRPr="00203F4E" w:rsidRDefault="002204B2" w:rsidP="002204B2">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552AADF2"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7F7FEEA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4E473E2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2210810C" w14:textId="77777777" w:rsidR="00691B5C" w:rsidRPr="00691B5C" w:rsidRDefault="00691B5C" w:rsidP="00691B5C">
      <w:pPr>
        <w:pStyle w:val="MRheading10"/>
        <w:spacing w:before="60" w:after="160" w:line="276" w:lineRule="auto"/>
        <w:rPr>
          <w:rFonts w:cs="Arial"/>
          <w:szCs w:val="22"/>
        </w:rPr>
      </w:pPr>
      <w:bookmarkStart w:id="126" w:name="_Ref387827530"/>
      <w:r w:rsidRPr="00691B5C">
        <w:rPr>
          <w:rFonts w:cs="Arial"/>
          <w:szCs w:val="22"/>
        </w:rPr>
        <w:t>Assignment</w:t>
      </w:r>
      <w:bookmarkEnd w:id="126"/>
    </w:p>
    <w:p w14:paraId="2DB6828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2BD391A" w14:textId="77777777" w:rsidR="00691B5C" w:rsidRPr="00691B5C" w:rsidRDefault="00691B5C" w:rsidP="00691B5C">
      <w:pPr>
        <w:pStyle w:val="MRheading20"/>
        <w:spacing w:before="60" w:after="160" w:line="276" w:lineRule="auto"/>
        <w:rPr>
          <w:rFonts w:cs="Arial"/>
          <w:szCs w:val="22"/>
        </w:rPr>
      </w:pPr>
      <w:bookmarkStart w:id="127"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5E7CC4">
        <w:rPr>
          <w:rFonts w:cs="Arial"/>
          <w:szCs w:val="22"/>
        </w:rPr>
        <w:t>24.2</w:t>
      </w:r>
      <w:r w:rsidRPr="00691B5C">
        <w:rPr>
          <w:rFonts w:cs="Arial"/>
          <w:szCs w:val="22"/>
        </w:rPr>
        <w:fldChar w:fldCharType="end"/>
      </w:r>
      <w:r w:rsidRPr="00691B5C">
        <w:rPr>
          <w:rFonts w:cs="Arial"/>
          <w:szCs w:val="22"/>
        </w:rPr>
        <w:t>.</w:t>
      </w:r>
      <w:bookmarkEnd w:id="127"/>
    </w:p>
    <w:p w14:paraId="06E3165C"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Waiver</w:t>
      </w:r>
    </w:p>
    <w:p w14:paraId="0E202B44"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75913217"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1ACF072C"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67C29D52" w14:textId="77777777" w:rsidR="00691B5C" w:rsidRPr="00691B5C" w:rsidRDefault="00691B5C" w:rsidP="00691B5C">
      <w:pPr>
        <w:pStyle w:val="MRheading10"/>
        <w:spacing w:before="60" w:after="160" w:line="276" w:lineRule="auto"/>
        <w:rPr>
          <w:rFonts w:cs="Arial"/>
          <w:szCs w:val="22"/>
        </w:rPr>
      </w:pPr>
      <w:bookmarkStart w:id="128" w:name="_Ref387839268"/>
      <w:r w:rsidRPr="00691B5C">
        <w:rPr>
          <w:rFonts w:cs="Arial"/>
          <w:szCs w:val="22"/>
        </w:rPr>
        <w:t>Variation</w:t>
      </w:r>
      <w:bookmarkEnd w:id="128"/>
    </w:p>
    <w:p w14:paraId="380FF4B0"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0718D66B" w14:textId="77777777" w:rsidR="00691B5C" w:rsidRPr="00691B5C" w:rsidRDefault="00691B5C" w:rsidP="00691B5C">
      <w:pPr>
        <w:pStyle w:val="MRheading10"/>
        <w:spacing w:before="60" w:after="160" w:line="276" w:lineRule="auto"/>
        <w:rPr>
          <w:rFonts w:cs="Arial"/>
          <w:szCs w:val="22"/>
        </w:rPr>
      </w:pPr>
      <w:bookmarkStart w:id="129" w:name="a273531"/>
      <w:r w:rsidRPr="00691B5C">
        <w:rPr>
          <w:rFonts w:cs="Arial"/>
          <w:szCs w:val="22"/>
        </w:rPr>
        <w:t>Severance</w:t>
      </w:r>
      <w:bookmarkEnd w:id="129"/>
    </w:p>
    <w:p w14:paraId="165C3007"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1169D69C"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6AA31E7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1274E83D"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2B6875A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5E7CC4">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5E7CC4">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38D97BBF"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3725FFB"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3F96E1D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is intended to, or shall operate to, create a partnership between the parties, or to authorise either party to act as agent for the other, and neither party shall have </w:t>
      </w:r>
      <w:r w:rsidRPr="00691B5C">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A271DC0" w14:textId="77777777" w:rsidR="00691B5C" w:rsidRPr="00691B5C" w:rsidRDefault="00691B5C" w:rsidP="00691B5C">
      <w:pPr>
        <w:pStyle w:val="MRheading10"/>
        <w:spacing w:before="60" w:after="160" w:line="276" w:lineRule="auto"/>
        <w:rPr>
          <w:rFonts w:cs="Arial"/>
          <w:szCs w:val="22"/>
        </w:rPr>
      </w:pPr>
      <w:bookmarkStart w:id="130" w:name="_Ref387827595"/>
      <w:r w:rsidRPr="00691B5C">
        <w:rPr>
          <w:rFonts w:cs="Arial"/>
          <w:szCs w:val="22"/>
        </w:rPr>
        <w:t>Force Majeure</w:t>
      </w:r>
      <w:bookmarkEnd w:id="130"/>
    </w:p>
    <w:p w14:paraId="19CCC860" w14:textId="77777777" w:rsidR="00691B5C" w:rsidRPr="00691B5C" w:rsidRDefault="00691B5C" w:rsidP="00691B5C">
      <w:pPr>
        <w:pStyle w:val="MRheading20"/>
        <w:spacing w:before="60" w:after="160" w:line="276" w:lineRule="auto"/>
        <w:rPr>
          <w:rFonts w:cs="Arial"/>
          <w:szCs w:val="22"/>
        </w:rPr>
      </w:pPr>
      <w:bookmarkStart w:id="131"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5E7CC4">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5E7CC4">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 by acts, events, omissions or accidents beyond its reasonable control (a “</w:t>
      </w:r>
      <w:r w:rsidRPr="00691B5C">
        <w:rPr>
          <w:rFonts w:cs="Arial"/>
          <w:b/>
          <w:szCs w:val="22"/>
        </w:rPr>
        <w:t>Force Majeure Event</w:t>
      </w:r>
      <w:r w:rsidRPr="00691B5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31"/>
      <w:r w:rsidRPr="00691B5C">
        <w:rPr>
          <w:rFonts w:cs="Arial"/>
          <w:szCs w:val="22"/>
        </w:rPr>
        <w:t xml:space="preserve">  </w:t>
      </w:r>
    </w:p>
    <w:p w14:paraId="3086E3C6" w14:textId="77777777" w:rsidR="00691B5C" w:rsidRPr="00691B5C" w:rsidRDefault="00691B5C" w:rsidP="00691B5C">
      <w:pPr>
        <w:pStyle w:val="MRheading20"/>
        <w:spacing w:before="60" w:after="160" w:line="276" w:lineRule="auto"/>
        <w:rPr>
          <w:rFonts w:cs="Arial"/>
          <w:szCs w:val="22"/>
        </w:rPr>
      </w:pPr>
      <w:bookmarkStart w:id="132" w:name="a866385"/>
      <w:r w:rsidRPr="00691B5C">
        <w:rPr>
          <w:rFonts w:cs="Arial"/>
          <w:szCs w:val="22"/>
        </w:rPr>
        <w:t>A party that is subject to a Force Majeure Event shall not be in breach of this Agreement provided that:</w:t>
      </w:r>
      <w:bookmarkEnd w:id="132"/>
    </w:p>
    <w:p w14:paraId="312525C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1A800639"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5C7B6160"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219714F" w14:textId="77777777" w:rsidR="00691B5C" w:rsidRPr="00691B5C" w:rsidRDefault="00691B5C" w:rsidP="00691B5C">
      <w:pPr>
        <w:pStyle w:val="MRheading20"/>
        <w:spacing w:before="60" w:after="160" w:line="276" w:lineRule="auto"/>
        <w:rPr>
          <w:rFonts w:cs="Arial"/>
          <w:szCs w:val="22"/>
        </w:rPr>
      </w:pPr>
      <w:bookmarkStart w:id="13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5E7CC4">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w:t>
      </w:r>
      <w:bookmarkEnd w:id="133"/>
    </w:p>
    <w:p w14:paraId="5CE49E22" w14:textId="77777777" w:rsidR="00691B5C" w:rsidRPr="00691B5C" w:rsidRDefault="00691B5C" w:rsidP="00691B5C">
      <w:pPr>
        <w:pStyle w:val="MRheading10"/>
        <w:spacing w:before="60" w:after="160" w:line="276" w:lineRule="auto"/>
        <w:rPr>
          <w:rFonts w:cs="Arial"/>
          <w:szCs w:val="22"/>
        </w:rPr>
      </w:pPr>
      <w:bookmarkStart w:id="134" w:name="_Ref387839429"/>
      <w:r w:rsidRPr="00691B5C">
        <w:rPr>
          <w:rFonts w:cs="Arial"/>
          <w:szCs w:val="22"/>
        </w:rPr>
        <w:t>Notice</w:t>
      </w:r>
      <w:bookmarkEnd w:id="134"/>
    </w:p>
    <w:p w14:paraId="72F95FE3" w14:textId="77777777" w:rsidR="00691B5C" w:rsidRPr="00691B5C" w:rsidRDefault="00691B5C" w:rsidP="00691B5C">
      <w:pPr>
        <w:pStyle w:val="MRheading20"/>
        <w:spacing w:before="60" w:after="160" w:line="276" w:lineRule="auto"/>
        <w:rPr>
          <w:rFonts w:cs="Arial"/>
          <w:szCs w:val="22"/>
        </w:rPr>
      </w:pPr>
      <w:bookmarkStart w:id="135"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42174703" w14:textId="77777777" w:rsidR="00691B5C" w:rsidRPr="00691B5C" w:rsidRDefault="00691B5C" w:rsidP="00691B5C">
      <w:pPr>
        <w:pStyle w:val="MRheading30"/>
        <w:spacing w:before="60" w:after="160" w:line="276" w:lineRule="auto"/>
        <w:rPr>
          <w:rFonts w:cs="Arial"/>
          <w:szCs w:val="22"/>
        </w:rPr>
      </w:pPr>
      <w:r w:rsidRPr="00691B5C">
        <w:rPr>
          <w:rFonts w:cs="Arial"/>
          <w:szCs w:val="22"/>
        </w:rPr>
        <w:t>personally, in which case the notice will be deemed to have been received at the time of delivery;</w:t>
      </w:r>
    </w:p>
    <w:p w14:paraId="137574AC" w14:textId="77777777" w:rsidR="00691B5C" w:rsidRPr="00691B5C" w:rsidRDefault="00691B5C" w:rsidP="00691B5C">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60A2B07"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37766F0" w14:textId="77777777" w:rsidR="00691B5C" w:rsidRPr="00691B5C" w:rsidRDefault="00691B5C" w:rsidP="00691B5C">
      <w:pPr>
        <w:pStyle w:val="MRheading20"/>
        <w:spacing w:before="60" w:after="160" w:line="276" w:lineRule="auto"/>
        <w:rPr>
          <w:rFonts w:cs="Arial"/>
          <w:szCs w:val="22"/>
        </w:rPr>
      </w:pPr>
      <w:r w:rsidRPr="00691B5C">
        <w:rPr>
          <w:rFonts w:cs="Arial"/>
          <w:szCs w:val="22"/>
        </w:rPr>
        <w:t>To prove service of notice, it is sufficient to prove that the envelope containing the notice was properly addressed and posted or handed to the courier.</w:t>
      </w:r>
      <w:bookmarkEnd w:id="135"/>
    </w:p>
    <w:p w14:paraId="65E5168A" w14:textId="77777777" w:rsidR="00691B5C" w:rsidRPr="00691B5C" w:rsidRDefault="00691B5C" w:rsidP="00691B5C">
      <w:pPr>
        <w:pStyle w:val="MRheading10"/>
        <w:spacing w:before="60" w:after="160" w:line="276" w:lineRule="auto"/>
        <w:rPr>
          <w:rFonts w:cs="Arial"/>
          <w:szCs w:val="22"/>
        </w:rPr>
      </w:pPr>
      <w:bookmarkStart w:id="136" w:name="_Ref387827621"/>
      <w:r w:rsidRPr="00691B5C">
        <w:rPr>
          <w:rFonts w:cs="Arial"/>
          <w:szCs w:val="22"/>
        </w:rPr>
        <w:t>Governing Law and Dispute Resolution Procedure</w:t>
      </w:r>
      <w:bookmarkEnd w:id="136"/>
    </w:p>
    <w:p w14:paraId="526F3FE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6825045" w14:textId="77777777" w:rsidR="00691B5C" w:rsidRPr="00691B5C" w:rsidRDefault="00691B5C" w:rsidP="00691B5C">
      <w:pPr>
        <w:pStyle w:val="MRheading20"/>
        <w:spacing w:before="60" w:after="160" w:line="276" w:lineRule="auto"/>
        <w:rPr>
          <w:rFonts w:cs="Arial"/>
          <w:szCs w:val="22"/>
        </w:rPr>
      </w:pPr>
      <w:bookmarkStart w:id="137"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37"/>
    </w:p>
    <w:p w14:paraId="459EC802" w14:textId="77777777" w:rsidR="00691B5C" w:rsidRPr="00691B5C" w:rsidRDefault="00691B5C" w:rsidP="00691B5C">
      <w:pPr>
        <w:pStyle w:val="MRheading20"/>
        <w:spacing w:before="60" w:after="160" w:line="276" w:lineRule="auto"/>
        <w:rPr>
          <w:rFonts w:cs="Arial"/>
          <w:szCs w:val="22"/>
        </w:rPr>
      </w:pPr>
      <w:bookmarkStart w:id="138"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5E7CC4">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5E7CC4">
        <w:rPr>
          <w:rFonts w:cs="Arial"/>
          <w:szCs w:val="22"/>
        </w:rPr>
        <w:t>34.2</w:t>
      </w:r>
      <w:r w:rsidRPr="00691B5C">
        <w:rPr>
          <w:rFonts w:cs="Arial"/>
          <w:szCs w:val="22"/>
        </w:rPr>
        <w:fldChar w:fldCharType="end"/>
      </w:r>
      <w:r w:rsidRPr="00691B5C">
        <w:rPr>
          <w:rFonts w:cs="Arial"/>
          <w:szCs w:val="22"/>
        </w:rPr>
        <w:t>.</w:t>
      </w:r>
      <w:bookmarkEnd w:id="138"/>
    </w:p>
    <w:p w14:paraId="59011FE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101652C" w14:textId="77777777" w:rsidR="00BA3A8C" w:rsidRDefault="00BA3A8C" w:rsidP="00691B5C">
      <w:pPr>
        <w:spacing w:before="60" w:after="160" w:line="276" w:lineRule="auto"/>
        <w:ind w:left="720"/>
        <w:rPr>
          <w:rFonts w:cs="Arial"/>
          <w:szCs w:val="22"/>
        </w:rPr>
        <w:sectPr w:rsidR="00BA3A8C">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1134" w:header="680" w:footer="454" w:gutter="0"/>
          <w:cols w:space="720"/>
          <w:titlePg/>
        </w:sectPr>
      </w:pPr>
    </w:p>
    <w:p w14:paraId="4B99056E" w14:textId="77777777" w:rsidR="00D35FA4" w:rsidRDefault="00D35FA4" w:rsidP="00C67465">
      <w:pPr>
        <w:pStyle w:val="MRSchedule1"/>
        <w:spacing w:before="60" w:after="160" w:line="276" w:lineRule="auto"/>
        <w:ind w:left="0"/>
        <w:rPr>
          <w:rFonts w:cs="Arial"/>
          <w:szCs w:val="22"/>
        </w:rPr>
      </w:pPr>
      <w:bookmarkStart w:id="140" w:name="_Ref511303233"/>
    </w:p>
    <w:bookmarkEnd w:id="140"/>
    <w:p w14:paraId="77B83825" w14:textId="77777777" w:rsidR="00C67465" w:rsidRDefault="00C67465" w:rsidP="00C67465">
      <w:pPr>
        <w:jc w:val="center"/>
        <w:rPr>
          <w:u w:val="single"/>
        </w:rPr>
      </w:pPr>
      <w:r w:rsidRPr="00C67465">
        <w:rPr>
          <w:u w:val="single"/>
        </w:rPr>
        <w:t>Data Processing Schedule</w:t>
      </w:r>
      <w:r w:rsidR="00723BF3">
        <w:rPr>
          <w:u w:val="single"/>
        </w:rPr>
        <w:t xml:space="preserve"> (TBC)</w:t>
      </w:r>
    </w:p>
    <w:p w14:paraId="1299C43A" w14:textId="77777777" w:rsidR="00223245" w:rsidRDefault="00223245" w:rsidP="00C67465">
      <w:pPr>
        <w:jc w:val="cente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3023698D" w14:textId="77777777" w:rsidTr="007F114F">
        <w:tc>
          <w:tcPr>
            <w:tcW w:w="2083" w:type="pct"/>
            <w:shd w:val="clear" w:color="auto" w:fill="auto"/>
          </w:tcPr>
          <w:p w14:paraId="31FF54C8" w14:textId="77777777" w:rsidR="00C67465" w:rsidRPr="007F114F" w:rsidRDefault="00C67465" w:rsidP="007F114F">
            <w:pPr>
              <w:spacing w:before="60" w:after="160" w:line="276" w:lineRule="auto"/>
              <w:rPr>
                <w:rFonts w:eastAsia="Calibri"/>
                <w:b/>
                <w:szCs w:val="22"/>
              </w:rPr>
            </w:pPr>
            <w:r w:rsidRPr="007F114F">
              <w:rPr>
                <w:rFonts w:eastAsia="Calibri"/>
                <w:b/>
                <w:szCs w:val="22"/>
              </w:rPr>
              <w:t>Description</w:t>
            </w:r>
          </w:p>
        </w:tc>
        <w:tc>
          <w:tcPr>
            <w:tcW w:w="2917" w:type="pct"/>
            <w:shd w:val="clear" w:color="auto" w:fill="auto"/>
          </w:tcPr>
          <w:p w14:paraId="54A08016" w14:textId="4346C3B9" w:rsidR="00C67465" w:rsidRPr="007F114F" w:rsidRDefault="00E37845" w:rsidP="007F114F">
            <w:pPr>
              <w:spacing w:before="60" w:after="160" w:line="276" w:lineRule="auto"/>
              <w:rPr>
                <w:rFonts w:eastAsia="Calibri"/>
                <w:szCs w:val="22"/>
              </w:rPr>
            </w:pPr>
            <w:r>
              <w:rPr>
                <w:rFonts w:eastAsia="Calibri"/>
                <w:szCs w:val="22"/>
              </w:rPr>
              <w:t>Design of a roadmap</w:t>
            </w:r>
            <w:r w:rsidRPr="00E37845">
              <w:rPr>
                <w:rFonts w:eastAsia="Calibri"/>
                <w:szCs w:val="22"/>
              </w:rPr>
              <w:t xml:space="preserve"> for Peru and UK HEIs</w:t>
            </w:r>
            <w:r w:rsidRPr="00E37845">
              <w:rPr>
                <w:rFonts w:eastAsia="Calibri"/>
                <w:szCs w:val="22"/>
              </w:rPr>
              <w:t xml:space="preserve"> </w:t>
            </w:r>
            <w:r w:rsidRPr="00E37845">
              <w:rPr>
                <w:rFonts w:eastAsia="Calibri"/>
                <w:szCs w:val="22"/>
              </w:rPr>
              <w:t>to effectively engage in partnership development towards the creation of a joint/double master’s degree programme in inclusive STI management</w:t>
            </w:r>
          </w:p>
        </w:tc>
      </w:tr>
      <w:tr w:rsidR="00C67465" w:rsidRPr="007F114F" w14:paraId="212D03A6" w14:textId="77777777" w:rsidTr="007F114F">
        <w:tc>
          <w:tcPr>
            <w:tcW w:w="2083" w:type="pct"/>
            <w:shd w:val="clear" w:color="auto" w:fill="auto"/>
          </w:tcPr>
          <w:p w14:paraId="60FBF33F" w14:textId="77777777" w:rsidR="00C67465" w:rsidRPr="007F114F" w:rsidRDefault="00C67465" w:rsidP="007F114F">
            <w:pPr>
              <w:spacing w:before="60" w:after="160" w:line="276" w:lineRule="auto"/>
              <w:rPr>
                <w:rFonts w:eastAsia="Calibri"/>
                <w:b/>
                <w:szCs w:val="22"/>
              </w:rPr>
            </w:pPr>
            <w:r w:rsidRPr="007F114F">
              <w:rPr>
                <w:rFonts w:eastAsia="Calibri"/>
                <w:b/>
                <w:szCs w:val="22"/>
              </w:rPr>
              <w:t>Duration of Processing</w:t>
            </w:r>
          </w:p>
        </w:tc>
        <w:tc>
          <w:tcPr>
            <w:tcW w:w="2917" w:type="pct"/>
            <w:shd w:val="clear" w:color="auto" w:fill="auto"/>
          </w:tcPr>
          <w:p w14:paraId="27277F63" w14:textId="77777777" w:rsidR="00C67465" w:rsidRPr="00723BF3" w:rsidRDefault="00723BF3" w:rsidP="007F114F">
            <w:pPr>
              <w:spacing w:before="60" w:after="160" w:line="276" w:lineRule="auto"/>
              <w:rPr>
                <w:rFonts w:eastAsia="Calibri"/>
                <w:szCs w:val="22"/>
              </w:rPr>
            </w:pPr>
            <w:r w:rsidRPr="00486F94">
              <w:rPr>
                <w:rFonts w:eastAsia="Calibri"/>
                <w:szCs w:val="22"/>
              </w:rPr>
              <w:t>The Term of this agreement as stated at Clause 1.1 of</w:t>
            </w:r>
            <w:r w:rsidRPr="00723BF3">
              <w:rPr>
                <w:rFonts w:eastAsia="Calibri"/>
                <w:szCs w:val="22"/>
              </w:rPr>
              <w:t xml:space="preserve"> Schedule 1</w:t>
            </w:r>
          </w:p>
        </w:tc>
      </w:tr>
      <w:tr w:rsidR="00723BF3" w:rsidRPr="007F114F" w14:paraId="737D500A" w14:textId="77777777" w:rsidTr="007F114F">
        <w:tc>
          <w:tcPr>
            <w:tcW w:w="2083" w:type="pct"/>
            <w:shd w:val="clear" w:color="auto" w:fill="auto"/>
          </w:tcPr>
          <w:p w14:paraId="4BEA4CE6" w14:textId="77777777" w:rsidR="00723BF3" w:rsidRPr="007F114F" w:rsidRDefault="00723BF3" w:rsidP="00723BF3">
            <w:pPr>
              <w:spacing w:before="60" w:after="160" w:line="276" w:lineRule="auto"/>
              <w:rPr>
                <w:rFonts w:eastAsia="Calibri"/>
                <w:b/>
                <w:szCs w:val="22"/>
              </w:rPr>
            </w:pPr>
            <w:r w:rsidRPr="007F114F">
              <w:rPr>
                <w:rFonts w:eastAsia="Calibri"/>
                <w:b/>
                <w:szCs w:val="22"/>
              </w:rPr>
              <w:t>Nature/purpose of Processing</w:t>
            </w:r>
          </w:p>
        </w:tc>
        <w:tc>
          <w:tcPr>
            <w:tcW w:w="2917" w:type="pct"/>
            <w:shd w:val="clear" w:color="auto" w:fill="auto"/>
          </w:tcPr>
          <w:p w14:paraId="5F2FC3CD"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p>
        </w:tc>
      </w:tr>
      <w:tr w:rsidR="00723BF3" w:rsidRPr="007F114F" w14:paraId="6067546D" w14:textId="77777777" w:rsidTr="007F114F">
        <w:tc>
          <w:tcPr>
            <w:tcW w:w="2083" w:type="pct"/>
            <w:shd w:val="clear" w:color="auto" w:fill="auto"/>
          </w:tcPr>
          <w:p w14:paraId="0E6DF1C6" w14:textId="77777777" w:rsidR="00723BF3" w:rsidRPr="007F114F" w:rsidRDefault="00723BF3" w:rsidP="00723BF3">
            <w:pPr>
              <w:spacing w:before="60" w:after="160" w:line="276" w:lineRule="auto"/>
              <w:rPr>
                <w:rFonts w:eastAsia="Calibri"/>
                <w:b/>
                <w:szCs w:val="22"/>
              </w:rPr>
            </w:pPr>
            <w:r w:rsidRPr="007F114F">
              <w:rPr>
                <w:rFonts w:eastAsia="Calibri"/>
                <w:b/>
                <w:szCs w:val="22"/>
              </w:rPr>
              <w:t>Type of Personal Data</w:t>
            </w:r>
          </w:p>
        </w:tc>
        <w:tc>
          <w:tcPr>
            <w:tcW w:w="2917" w:type="pct"/>
            <w:shd w:val="clear" w:color="auto" w:fill="auto"/>
          </w:tcPr>
          <w:p w14:paraId="30555507"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Examples here include: name, address, date of birth, National identification number, telephone number, pay, images, biometric data etc.</w:t>
            </w:r>
          </w:p>
        </w:tc>
      </w:tr>
      <w:tr w:rsidR="00723BF3" w:rsidRPr="007F114F" w14:paraId="5A113E1B" w14:textId="77777777" w:rsidTr="007F114F">
        <w:tc>
          <w:tcPr>
            <w:tcW w:w="2083" w:type="pct"/>
            <w:shd w:val="clear" w:color="auto" w:fill="auto"/>
          </w:tcPr>
          <w:p w14:paraId="4FA9DCAF" w14:textId="77777777" w:rsidR="00723BF3" w:rsidRPr="007F114F" w:rsidRDefault="00723BF3" w:rsidP="00723BF3">
            <w:pPr>
              <w:spacing w:before="60" w:after="160" w:line="276" w:lineRule="auto"/>
              <w:rPr>
                <w:rFonts w:eastAsia="Calibri"/>
                <w:b/>
                <w:szCs w:val="22"/>
              </w:rPr>
            </w:pPr>
            <w:r w:rsidRPr="007F114F">
              <w:rPr>
                <w:rFonts w:eastAsia="Calibri"/>
                <w:b/>
                <w:szCs w:val="22"/>
              </w:rPr>
              <w:t>Categories of Data Subjects</w:t>
            </w:r>
          </w:p>
        </w:tc>
        <w:tc>
          <w:tcPr>
            <w:tcW w:w="2917" w:type="pct"/>
            <w:shd w:val="clear" w:color="auto" w:fill="auto"/>
          </w:tcPr>
          <w:p w14:paraId="194DE4CB"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Examples include: Staff (including volunteers, agents, and temporary workers), customers/ clients, suppliers, patients, students / pupils, members of the public, users of a particular website etc.</w:t>
            </w:r>
          </w:p>
        </w:tc>
      </w:tr>
      <w:tr w:rsidR="00723BF3" w:rsidRPr="007F114F" w14:paraId="64E03867" w14:textId="77777777" w:rsidTr="007F114F">
        <w:tc>
          <w:tcPr>
            <w:tcW w:w="2083" w:type="pct"/>
            <w:shd w:val="clear" w:color="auto" w:fill="auto"/>
          </w:tcPr>
          <w:p w14:paraId="2DC1D997" w14:textId="77777777" w:rsidR="00723BF3" w:rsidRPr="007F114F" w:rsidRDefault="00723BF3" w:rsidP="00723BF3">
            <w:pPr>
              <w:spacing w:before="60" w:after="160" w:line="276" w:lineRule="auto"/>
              <w:rPr>
                <w:rFonts w:eastAsia="Calibri"/>
                <w:b/>
                <w:szCs w:val="22"/>
              </w:rPr>
            </w:pPr>
            <w:r w:rsidRPr="007F114F">
              <w:rPr>
                <w:rFonts w:eastAsia="Calibri"/>
                <w:b/>
                <w:szCs w:val="22"/>
              </w:rPr>
              <w:t>Countries or International Organisations Personal Data will be transferred to</w:t>
            </w:r>
          </w:p>
        </w:tc>
        <w:tc>
          <w:tcPr>
            <w:tcW w:w="2917" w:type="pct"/>
            <w:shd w:val="clear" w:color="auto" w:fill="auto"/>
          </w:tcPr>
          <w:p w14:paraId="1DC3D2EA" w14:textId="77777777" w:rsidR="00723BF3" w:rsidRDefault="00723BF3" w:rsidP="00723BF3">
            <w:pPr>
              <w:spacing w:before="60" w:after="160" w:line="276" w:lineRule="auto"/>
              <w:rPr>
                <w:rFonts w:eastAsia="Calibri"/>
                <w:i/>
                <w:szCs w:val="22"/>
              </w:rPr>
            </w:pPr>
            <w:r>
              <w:rPr>
                <w:rFonts w:eastAsia="Calibri"/>
                <w:i/>
                <w:szCs w:val="22"/>
              </w:rPr>
              <w:t>Name the countries and International Organisations (where applicable). Where not applicable state N/A. NB: “International Organisation” is defined in the GDPR as “</w:t>
            </w:r>
            <w:r>
              <w:rPr>
                <w:rFonts w:eastAsia="Calibri"/>
                <w:i/>
                <w:szCs w:val="22"/>
                <w:lang w:val="en-US"/>
              </w:rPr>
              <w:t>an organisation and its subordinate bodies governed by public international law, or any other body which is set up by, or on the basis of, an agreement between two or more countries.”</w:t>
            </w:r>
          </w:p>
        </w:tc>
      </w:tr>
      <w:tr w:rsidR="00723BF3" w:rsidRPr="007F114F" w14:paraId="6A9C857A" w14:textId="77777777" w:rsidTr="007F114F">
        <w:tc>
          <w:tcPr>
            <w:tcW w:w="2083" w:type="pct"/>
            <w:shd w:val="clear" w:color="auto" w:fill="auto"/>
          </w:tcPr>
          <w:p w14:paraId="0211D929" w14:textId="77777777" w:rsidR="00723BF3" w:rsidRPr="007F114F" w:rsidRDefault="00723BF3" w:rsidP="00723BF3">
            <w:pPr>
              <w:spacing w:before="60" w:after="160" w:line="276" w:lineRule="auto"/>
              <w:rPr>
                <w:rFonts w:eastAsia="Calibri"/>
                <w:b/>
                <w:szCs w:val="22"/>
              </w:rPr>
            </w:pPr>
            <w:r w:rsidRPr="007F114F">
              <w:rPr>
                <w:rFonts w:eastAsia="Calibri"/>
                <w:b/>
                <w:szCs w:val="22"/>
              </w:rPr>
              <w:t>Sub-Processors</w:t>
            </w:r>
          </w:p>
        </w:tc>
        <w:tc>
          <w:tcPr>
            <w:tcW w:w="2917" w:type="pct"/>
            <w:shd w:val="clear" w:color="auto" w:fill="auto"/>
          </w:tcPr>
          <w:p w14:paraId="16162F67" w14:textId="77777777" w:rsidR="00723BF3" w:rsidRDefault="00723BF3" w:rsidP="00723BF3">
            <w:pPr>
              <w:spacing w:before="60" w:after="160" w:line="276" w:lineRule="auto"/>
              <w:rPr>
                <w:rFonts w:eastAsia="Calibri"/>
                <w:i/>
                <w:szCs w:val="22"/>
              </w:rPr>
            </w:pPr>
            <w:r>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14:paraId="4DDBEF00" w14:textId="77777777" w:rsidR="00C67465" w:rsidRPr="00C67465" w:rsidRDefault="00C67465" w:rsidP="00C67465">
      <w:pPr>
        <w:jc w:val="left"/>
      </w:pPr>
    </w:p>
    <w:sectPr w:rsidR="00C67465" w:rsidRPr="00C67465">
      <w:headerReference w:type="first" r:id="rId1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D1C0" w14:textId="77777777" w:rsidR="00E21E00" w:rsidRDefault="00E21E00">
      <w:r>
        <w:separator/>
      </w:r>
    </w:p>
  </w:endnote>
  <w:endnote w:type="continuationSeparator" w:id="0">
    <w:p w14:paraId="1B916DAE" w14:textId="77777777" w:rsidR="00E21E00" w:rsidRDefault="00E2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061742" w:rsidRDefault="0006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4C30" w14:textId="77777777" w:rsidR="00EA5375" w:rsidRPr="00EA5375" w:rsidRDefault="00EA5375">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5E7CC4">
      <w:rPr>
        <w:noProof/>
        <w:sz w:val="16"/>
      </w:rPr>
      <w:t>30</w:t>
    </w:r>
    <w:r w:rsidRPr="00EA5375">
      <w:rPr>
        <w:noProof/>
        <w:sz w:val="16"/>
      </w:rPr>
      <w:fldChar w:fldCharType="end"/>
    </w:r>
  </w:p>
  <w:p w14:paraId="76968FE1" w14:textId="77777777" w:rsidR="00F303C3" w:rsidRPr="005A6D3D" w:rsidRDefault="001702C2" w:rsidP="005A6D3D">
    <w:pPr>
      <w:pStyle w:val="Footer"/>
      <w:jc w:val="both"/>
      <w:rPr>
        <w:sz w:val="16"/>
        <w:szCs w:val="16"/>
      </w:rPr>
    </w:pPr>
    <w:r>
      <w:rPr>
        <w:sz w:val="16"/>
        <w:szCs w:val="16"/>
      </w:rPr>
      <w:t>Last Updated</w:t>
    </w:r>
    <w:r w:rsidR="0097415B">
      <w:rPr>
        <w:sz w:val="16"/>
        <w:szCs w:val="16"/>
      </w:rPr>
      <w:t>:</w:t>
    </w:r>
    <w:r>
      <w:rPr>
        <w:sz w:val="16"/>
        <w:szCs w:val="16"/>
      </w:rPr>
      <w:t xml:space="preserve"> </w:t>
    </w:r>
    <w:r w:rsidR="00BA3A8C">
      <w:rPr>
        <w:sz w:val="16"/>
        <w:szCs w:val="16"/>
      </w:rPr>
      <w:t>23 July</w:t>
    </w:r>
    <w:r w:rsidR="00691C00">
      <w:rPr>
        <w:sz w:val="16"/>
        <w:szCs w:val="16"/>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04199D" w:rsidRPr="0004199D" w:rsidRDefault="0004199D">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5E7CC4">
      <w:rPr>
        <w:noProof/>
        <w:sz w:val="16"/>
      </w:rPr>
      <w:t>1</w:t>
    </w:r>
    <w:r w:rsidRPr="0004199D">
      <w:rPr>
        <w:noProof/>
        <w:sz w:val="16"/>
      </w:rPr>
      <w:fldChar w:fldCharType="end"/>
    </w:r>
  </w:p>
  <w:p w14:paraId="4093DA30" w14:textId="77777777" w:rsidR="00A41C04" w:rsidRPr="005A6D3D" w:rsidRDefault="00FD5C57" w:rsidP="00A41C04">
    <w:pPr>
      <w:pStyle w:val="Footer"/>
      <w:jc w:val="both"/>
      <w:rPr>
        <w:sz w:val="16"/>
        <w:szCs w:val="16"/>
      </w:rPr>
    </w:pPr>
    <w:r>
      <w:rPr>
        <w:sz w:val="16"/>
        <w:szCs w:val="16"/>
      </w:rPr>
      <w:t xml:space="preserve">Last Updated: </w:t>
    </w:r>
    <w:r w:rsidR="00BA3A8C">
      <w:rPr>
        <w:sz w:val="16"/>
        <w:szCs w:val="16"/>
      </w:rPr>
      <w:t>23 July 2019</w:t>
    </w:r>
    <w:r w:rsidR="00FA641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A9B" w14:textId="77777777" w:rsidR="00E21E00" w:rsidRDefault="00E21E00">
      <w:r>
        <w:separator/>
      </w:r>
    </w:p>
  </w:footnote>
  <w:footnote w:type="continuationSeparator" w:id="0">
    <w:p w14:paraId="42020FC6" w14:textId="77777777" w:rsidR="00E21E00" w:rsidRDefault="00E2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061742" w:rsidRDefault="0006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061742" w:rsidRDefault="0006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14:paraId="0AF2753B" w14:textId="77777777">
      <w:trPr>
        <w:trHeight w:hRule="exact" w:val="1280"/>
      </w:trPr>
      <w:tc>
        <w:tcPr>
          <w:tcW w:w="3969" w:type="dxa"/>
          <w:tcBorders>
            <w:bottom w:val="single" w:sz="4" w:space="0" w:color="auto"/>
          </w:tcBorders>
        </w:tcPr>
        <w:p w14:paraId="1FC39945" w14:textId="77777777" w:rsidR="00F303C3" w:rsidRDefault="00CA4DDD">
          <w:pPr>
            <w:pStyle w:val="Header"/>
            <w:jc w:val="left"/>
          </w:pPr>
          <w:bookmarkStart w:id="139" w:name="bclogo"/>
          <w:r>
            <w:rPr>
              <w:noProof/>
            </w:rPr>
            <w:drawing>
              <wp:inline distT="0" distB="0" distL="0" distR="0" wp14:anchorId="3753024C" wp14:editId="07777777">
                <wp:extent cx="1440180" cy="39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a:ln>
                          <a:noFill/>
                        </a:ln>
                      </pic:spPr>
                    </pic:pic>
                  </a:graphicData>
                </a:graphic>
              </wp:inline>
            </w:drawing>
          </w:r>
          <w:bookmarkEnd w:id="139"/>
        </w:p>
      </w:tc>
      <w:tc>
        <w:tcPr>
          <w:tcW w:w="5954" w:type="dxa"/>
          <w:tcBorders>
            <w:bottom w:val="single" w:sz="4" w:space="0" w:color="auto"/>
          </w:tcBorders>
        </w:tcPr>
        <w:p w14:paraId="3EA4836B" w14:textId="77777777" w:rsidR="00F303C3" w:rsidRDefault="00691B5C">
          <w:pPr>
            <w:pStyle w:val="Header"/>
            <w:tabs>
              <w:tab w:val="clear" w:pos="4153"/>
              <w:tab w:val="clear" w:pos="8306"/>
            </w:tabs>
          </w:pPr>
          <w:r>
            <w:t>Agreement for the purchase of professional or consultancy services</w:t>
          </w:r>
        </w:p>
      </w:tc>
    </w:tr>
  </w:tbl>
  <w:p w14:paraId="0562CB0E" w14:textId="77777777" w:rsidR="00F303C3" w:rsidRDefault="00F30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BA3A8C" w:rsidRDefault="00BA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5A36434"/>
    <w:multiLevelType w:val="hybridMultilevel"/>
    <w:tmpl w:val="28A82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D0C2F44"/>
    <w:multiLevelType w:val="multilevel"/>
    <w:tmpl w:val="7D42F14A"/>
    <w:name w:val="M&amp;R_8"/>
    <w:numStyleLink w:val="Headings"/>
  </w:abstractNum>
  <w:abstractNum w:abstractNumId="1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5"/>
  </w:num>
  <w:num w:numId="3">
    <w:abstractNumId w:val="1"/>
  </w:num>
  <w:num w:numId="4">
    <w:abstractNumId w:val="5"/>
  </w:num>
  <w:num w:numId="5">
    <w:abstractNumId w:val="20"/>
  </w:num>
  <w:num w:numId="6">
    <w:abstractNumId w:val="8"/>
  </w:num>
  <w:num w:numId="7">
    <w:abstractNumId w:val="21"/>
  </w:num>
  <w:num w:numId="8">
    <w:abstractNumId w:val="6"/>
  </w:num>
  <w:num w:numId="9">
    <w:abstractNumId w:val="7"/>
  </w:num>
  <w:num w:numId="10">
    <w:abstractNumId w:val="15"/>
  </w:num>
  <w:num w:numId="11">
    <w:abstractNumId w:val="17"/>
  </w:num>
  <w:num w:numId="12">
    <w:abstractNumId w:val="19"/>
  </w:num>
  <w:num w:numId="13">
    <w:abstractNumId w:val="13"/>
  </w:num>
  <w:num w:numId="14">
    <w:abstractNumId w:val="22"/>
  </w:num>
  <w:num w:numId="15">
    <w:abstractNumId w:val="10"/>
  </w:num>
  <w:num w:numId="16">
    <w:abstractNumId w:val="9"/>
  </w:num>
  <w:num w:numId="17">
    <w:abstractNumId w:val="16"/>
  </w:num>
  <w:num w:numId="18">
    <w:abstractNumId w:val="11"/>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8"/>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8"/>
  </w:num>
  <w:num w:numId="28">
    <w:abstractNumId w:val="3"/>
  </w:num>
  <w:num w:numId="2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1742"/>
    <w:rsid w:val="00066AD4"/>
    <w:rsid w:val="00067125"/>
    <w:rsid w:val="00071541"/>
    <w:rsid w:val="000743A2"/>
    <w:rsid w:val="00081114"/>
    <w:rsid w:val="00087241"/>
    <w:rsid w:val="00091708"/>
    <w:rsid w:val="000A76AA"/>
    <w:rsid w:val="000B2442"/>
    <w:rsid w:val="000B2495"/>
    <w:rsid w:val="000B51BC"/>
    <w:rsid w:val="000C02FB"/>
    <w:rsid w:val="000E5789"/>
    <w:rsid w:val="001003F1"/>
    <w:rsid w:val="00103EE8"/>
    <w:rsid w:val="001047FA"/>
    <w:rsid w:val="001052C0"/>
    <w:rsid w:val="0013739A"/>
    <w:rsid w:val="00137626"/>
    <w:rsid w:val="00142EDF"/>
    <w:rsid w:val="00144891"/>
    <w:rsid w:val="001662C3"/>
    <w:rsid w:val="001702C2"/>
    <w:rsid w:val="0017079B"/>
    <w:rsid w:val="00174907"/>
    <w:rsid w:val="00190D70"/>
    <w:rsid w:val="0019371D"/>
    <w:rsid w:val="001961A5"/>
    <w:rsid w:val="001C006C"/>
    <w:rsid w:val="001C2E3D"/>
    <w:rsid w:val="001C73F0"/>
    <w:rsid w:val="001D2A06"/>
    <w:rsid w:val="001D2C6E"/>
    <w:rsid w:val="001E0126"/>
    <w:rsid w:val="001E01FF"/>
    <w:rsid w:val="0020358A"/>
    <w:rsid w:val="0021549F"/>
    <w:rsid w:val="002204B2"/>
    <w:rsid w:val="00223245"/>
    <w:rsid w:val="00227098"/>
    <w:rsid w:val="0023167F"/>
    <w:rsid w:val="002341B4"/>
    <w:rsid w:val="00235110"/>
    <w:rsid w:val="00252708"/>
    <w:rsid w:val="00266210"/>
    <w:rsid w:val="00270B18"/>
    <w:rsid w:val="0027638D"/>
    <w:rsid w:val="002A05A8"/>
    <w:rsid w:val="002A3506"/>
    <w:rsid w:val="002B7535"/>
    <w:rsid w:val="002F41CB"/>
    <w:rsid w:val="00305943"/>
    <w:rsid w:val="00310D79"/>
    <w:rsid w:val="00323EAF"/>
    <w:rsid w:val="0033697B"/>
    <w:rsid w:val="0034494F"/>
    <w:rsid w:val="00344E6D"/>
    <w:rsid w:val="00360FED"/>
    <w:rsid w:val="0036395C"/>
    <w:rsid w:val="00373050"/>
    <w:rsid w:val="003820CF"/>
    <w:rsid w:val="00391131"/>
    <w:rsid w:val="00394853"/>
    <w:rsid w:val="003A57B4"/>
    <w:rsid w:val="003B1907"/>
    <w:rsid w:val="003C16FC"/>
    <w:rsid w:val="003C6886"/>
    <w:rsid w:val="003D13B8"/>
    <w:rsid w:val="003D49DC"/>
    <w:rsid w:val="003E4D3F"/>
    <w:rsid w:val="003E6B65"/>
    <w:rsid w:val="003F1B66"/>
    <w:rsid w:val="003F7293"/>
    <w:rsid w:val="00400626"/>
    <w:rsid w:val="00402437"/>
    <w:rsid w:val="0040482D"/>
    <w:rsid w:val="00405FC3"/>
    <w:rsid w:val="00407476"/>
    <w:rsid w:val="00412E26"/>
    <w:rsid w:val="0042085C"/>
    <w:rsid w:val="004413D3"/>
    <w:rsid w:val="004464FB"/>
    <w:rsid w:val="00446CD2"/>
    <w:rsid w:val="0046313C"/>
    <w:rsid w:val="00466334"/>
    <w:rsid w:val="00481E98"/>
    <w:rsid w:val="004837E3"/>
    <w:rsid w:val="00484711"/>
    <w:rsid w:val="00486F94"/>
    <w:rsid w:val="00487F03"/>
    <w:rsid w:val="00496DD1"/>
    <w:rsid w:val="004B33DA"/>
    <w:rsid w:val="004C00D8"/>
    <w:rsid w:val="004C0B14"/>
    <w:rsid w:val="004C2428"/>
    <w:rsid w:val="004D1D16"/>
    <w:rsid w:val="004D2195"/>
    <w:rsid w:val="004D4948"/>
    <w:rsid w:val="0052543B"/>
    <w:rsid w:val="0052726E"/>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237BD"/>
    <w:rsid w:val="006324FA"/>
    <w:rsid w:val="00640255"/>
    <w:rsid w:val="00643C9B"/>
    <w:rsid w:val="006443C6"/>
    <w:rsid w:val="006462C6"/>
    <w:rsid w:val="00651F44"/>
    <w:rsid w:val="0065473E"/>
    <w:rsid w:val="00663B8E"/>
    <w:rsid w:val="00680433"/>
    <w:rsid w:val="00681BE4"/>
    <w:rsid w:val="00691B5C"/>
    <w:rsid w:val="00691C00"/>
    <w:rsid w:val="00691FF1"/>
    <w:rsid w:val="006B4937"/>
    <w:rsid w:val="006E1D22"/>
    <w:rsid w:val="006E702C"/>
    <w:rsid w:val="00701926"/>
    <w:rsid w:val="00710B7D"/>
    <w:rsid w:val="0071696C"/>
    <w:rsid w:val="00720964"/>
    <w:rsid w:val="00722F08"/>
    <w:rsid w:val="00723BF3"/>
    <w:rsid w:val="00724DF1"/>
    <w:rsid w:val="00742DB6"/>
    <w:rsid w:val="00760C6E"/>
    <w:rsid w:val="007647BE"/>
    <w:rsid w:val="00770C42"/>
    <w:rsid w:val="0078316B"/>
    <w:rsid w:val="007A18BF"/>
    <w:rsid w:val="007A4371"/>
    <w:rsid w:val="007C1BC3"/>
    <w:rsid w:val="007D3382"/>
    <w:rsid w:val="007E3344"/>
    <w:rsid w:val="007F114F"/>
    <w:rsid w:val="0081034E"/>
    <w:rsid w:val="00814C91"/>
    <w:rsid w:val="00842D2D"/>
    <w:rsid w:val="00850967"/>
    <w:rsid w:val="00855BCA"/>
    <w:rsid w:val="00864C94"/>
    <w:rsid w:val="00886535"/>
    <w:rsid w:val="008A18F6"/>
    <w:rsid w:val="008A5F45"/>
    <w:rsid w:val="008A7720"/>
    <w:rsid w:val="008C1395"/>
    <w:rsid w:val="008D038A"/>
    <w:rsid w:val="008D7466"/>
    <w:rsid w:val="008E52A6"/>
    <w:rsid w:val="008E5D14"/>
    <w:rsid w:val="008F34A7"/>
    <w:rsid w:val="00906125"/>
    <w:rsid w:val="00911857"/>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7EA"/>
    <w:rsid w:val="009C0B4B"/>
    <w:rsid w:val="009C4C45"/>
    <w:rsid w:val="009E2A73"/>
    <w:rsid w:val="00A15362"/>
    <w:rsid w:val="00A175F1"/>
    <w:rsid w:val="00A1761C"/>
    <w:rsid w:val="00A318D9"/>
    <w:rsid w:val="00A32F1B"/>
    <w:rsid w:val="00A41C04"/>
    <w:rsid w:val="00A54DE4"/>
    <w:rsid w:val="00A6133D"/>
    <w:rsid w:val="00A67EF8"/>
    <w:rsid w:val="00A80866"/>
    <w:rsid w:val="00A83A05"/>
    <w:rsid w:val="00A84A42"/>
    <w:rsid w:val="00AA249D"/>
    <w:rsid w:val="00AD2C01"/>
    <w:rsid w:val="00AD7BAB"/>
    <w:rsid w:val="00AE26D5"/>
    <w:rsid w:val="00AE72C5"/>
    <w:rsid w:val="00AF70B3"/>
    <w:rsid w:val="00B00DCA"/>
    <w:rsid w:val="00B17521"/>
    <w:rsid w:val="00B21165"/>
    <w:rsid w:val="00B22751"/>
    <w:rsid w:val="00B357FA"/>
    <w:rsid w:val="00B44E8F"/>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6013"/>
    <w:rsid w:val="00BF5243"/>
    <w:rsid w:val="00BF55F4"/>
    <w:rsid w:val="00C012AB"/>
    <w:rsid w:val="00C0204B"/>
    <w:rsid w:val="00C07E35"/>
    <w:rsid w:val="00C15B6A"/>
    <w:rsid w:val="00C16B6D"/>
    <w:rsid w:val="00C361DB"/>
    <w:rsid w:val="00C371F8"/>
    <w:rsid w:val="00C51BD7"/>
    <w:rsid w:val="00C65C08"/>
    <w:rsid w:val="00C67465"/>
    <w:rsid w:val="00C72A93"/>
    <w:rsid w:val="00C73E3A"/>
    <w:rsid w:val="00C878AE"/>
    <w:rsid w:val="00C90D16"/>
    <w:rsid w:val="00C95632"/>
    <w:rsid w:val="00CA3C40"/>
    <w:rsid w:val="00CA4DDD"/>
    <w:rsid w:val="00CB6393"/>
    <w:rsid w:val="00CC7D43"/>
    <w:rsid w:val="00CE0769"/>
    <w:rsid w:val="00CE77CC"/>
    <w:rsid w:val="00D04895"/>
    <w:rsid w:val="00D06589"/>
    <w:rsid w:val="00D0731F"/>
    <w:rsid w:val="00D12200"/>
    <w:rsid w:val="00D16773"/>
    <w:rsid w:val="00D17432"/>
    <w:rsid w:val="00D24A09"/>
    <w:rsid w:val="00D26F3C"/>
    <w:rsid w:val="00D27ADE"/>
    <w:rsid w:val="00D35FA4"/>
    <w:rsid w:val="00D36FF9"/>
    <w:rsid w:val="00D55851"/>
    <w:rsid w:val="00D560B0"/>
    <w:rsid w:val="00D755E7"/>
    <w:rsid w:val="00D8121C"/>
    <w:rsid w:val="00D847D5"/>
    <w:rsid w:val="00DA1247"/>
    <w:rsid w:val="00DA36BC"/>
    <w:rsid w:val="00DA3F20"/>
    <w:rsid w:val="00DC2DA2"/>
    <w:rsid w:val="00DD086C"/>
    <w:rsid w:val="00DD7225"/>
    <w:rsid w:val="00DF406A"/>
    <w:rsid w:val="00DF5EA9"/>
    <w:rsid w:val="00DF74A3"/>
    <w:rsid w:val="00E04D52"/>
    <w:rsid w:val="00E14158"/>
    <w:rsid w:val="00E20C92"/>
    <w:rsid w:val="00E2125C"/>
    <w:rsid w:val="00E21E00"/>
    <w:rsid w:val="00E25000"/>
    <w:rsid w:val="00E30883"/>
    <w:rsid w:val="00E3395F"/>
    <w:rsid w:val="00E34AB6"/>
    <w:rsid w:val="00E3743E"/>
    <w:rsid w:val="00E37845"/>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4273"/>
    <w:rsid w:val="00FA6414"/>
    <w:rsid w:val="00FA7FBA"/>
    <w:rsid w:val="00FB2356"/>
    <w:rsid w:val="00FC120D"/>
    <w:rsid w:val="00FC778B"/>
    <w:rsid w:val="00FD5C57"/>
    <w:rsid w:val="00FD6D79"/>
    <w:rsid w:val="00FE2410"/>
    <w:rsid w:val="00FE780E"/>
    <w:rsid w:val="00FF3FCA"/>
    <w:rsid w:val="11F843F8"/>
    <w:rsid w:val="1F130787"/>
    <w:rsid w:val="294281DD"/>
    <w:rsid w:val="3A4C689A"/>
    <w:rsid w:val="43DA2283"/>
    <w:rsid w:val="47092BF9"/>
    <w:rsid w:val="471FF55B"/>
    <w:rsid w:val="47558B44"/>
    <w:rsid w:val="4A355A9E"/>
    <w:rsid w:val="53C0EF49"/>
    <w:rsid w:val="5FE67ED5"/>
    <w:rsid w:val="617395CC"/>
    <w:rsid w:val="69407487"/>
    <w:rsid w:val="6B6E0CA9"/>
    <w:rsid w:val="781D8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33C5D4"/>
  <w15:chartTrackingRefBased/>
  <w15:docId w15:val="{D89A016F-1852-4D42-BD35-DB0B724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lang w:eastAsia="en-GB"/>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691B5C"/>
    <w:rPr>
      <w:sz w:val="20"/>
    </w:rPr>
  </w:style>
  <w:style w:type="character" w:customStyle="1" w:styleId="FootnoteTextChar">
    <w:name w:val="Footnote Text Char"/>
    <w:link w:val="FootnoteText"/>
    <w:rsid w:val="00691B5C"/>
    <w:rPr>
      <w:rFonts w:cs="Times New Roman"/>
    </w:rPr>
  </w:style>
  <w:style w:type="character" w:styleId="FootnoteReference">
    <w:name w:val="footnote reference"/>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714233973">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25454724">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115440697">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ritishcouncil.org/new/about-us/jobs/folder_jobs/register-as-a-consultant/policies-for-consultants-and-associ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D94206B0B5D5B438E3BCAADC09D7906" ma:contentTypeVersion="6" ma:contentTypeDescription="Crear nuevo documento." ma:contentTypeScope="" ma:versionID="6613120f99527ed8db57c4b4b81ee262">
  <xsd:schema xmlns:xsd="http://www.w3.org/2001/XMLSchema" xmlns:xs="http://www.w3.org/2001/XMLSchema" xmlns:p="http://schemas.microsoft.com/office/2006/metadata/properties" xmlns:ns2="27cb8fd6-f849-4737-a330-a2f1af24026c" xmlns:ns3="878f7a34-760d-429a-a615-bccf52118b9d" targetNamespace="http://schemas.microsoft.com/office/2006/metadata/properties" ma:root="true" ma:fieldsID="e2b09a2ba01a405106742bf69b07011a" ns2:_="" ns3:_="">
    <xsd:import namespace="27cb8fd6-f849-4737-a330-a2f1af24026c"/>
    <xsd:import namespace="878f7a34-760d-429a-a615-bccf52118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b8fd6-f849-4737-a330-a2f1af24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7a34-760d-429a-a615-bccf52118b9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9AECD-1B9D-4362-8EE7-FFE93A63E1BC}">
  <ds:schemaRefs>
    <ds:schemaRef ds:uri="http://schemas.microsoft.com/sharepoint/v3/contenttype/forms"/>
  </ds:schemaRefs>
</ds:datastoreItem>
</file>

<file path=customXml/itemProps2.xml><?xml version="1.0" encoding="utf-8"?>
<ds:datastoreItem xmlns:ds="http://schemas.openxmlformats.org/officeDocument/2006/customXml" ds:itemID="{01BC0B22-C6C7-4076-91FB-B526DC4A0778}">
  <ds:schemaRefs>
    <ds:schemaRef ds:uri="http://schemas.microsoft.com/office/2006/metadata/longProperties"/>
  </ds:schemaRefs>
</ds:datastoreItem>
</file>

<file path=customXml/itemProps3.xml><?xml version="1.0" encoding="utf-8"?>
<ds:datastoreItem xmlns:ds="http://schemas.openxmlformats.org/officeDocument/2006/customXml" ds:itemID="{3D422454-5B48-4D6B-8E27-A246522FBCA3}">
  <ds:schemaRefs>
    <ds:schemaRef ds:uri="http://schemas.openxmlformats.org/officeDocument/2006/bibliography"/>
  </ds:schemaRefs>
</ds:datastoreItem>
</file>

<file path=customXml/itemProps4.xml><?xml version="1.0" encoding="utf-8"?>
<ds:datastoreItem xmlns:ds="http://schemas.openxmlformats.org/officeDocument/2006/customXml" ds:itemID="{9F268D29-29F1-4393-B160-2502F23A3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A278C1-9C6F-48FC-B3DB-54BE592D3C5C}"/>
</file>

<file path=docProps/app.xml><?xml version="1.0" encoding="utf-8"?>
<Properties xmlns="http://schemas.openxmlformats.org/officeDocument/2006/extended-properties" xmlns:vt="http://schemas.openxmlformats.org/officeDocument/2006/docPropsVTypes">
  <Template>A4 Blank</Template>
  <TotalTime>16</TotalTime>
  <Pages>35</Pages>
  <Words>14107</Words>
  <Characters>76210</Characters>
  <Application>Microsoft Office Word</Application>
  <DocSecurity>0</DocSecurity>
  <Lines>635</Lines>
  <Paragraphs>180</Paragraphs>
  <ScaleCrop>false</ScaleCrop>
  <Company>British Council</Company>
  <LinksUpToDate>false</LinksUpToDate>
  <CharactersWithSpaces>90137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Machaca, William (Peru)</cp:lastModifiedBy>
  <cp:revision>3</cp:revision>
  <cp:lastPrinted>2016-04-05T21:55:00Z</cp:lastPrinted>
  <dcterms:created xsi:type="dcterms:W3CDTF">2022-06-07T15:21:00Z</dcterms:created>
  <dcterms:modified xsi:type="dcterms:W3CDTF">2022-06-07T15:24:00Z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TemplateUrl">
    <vt:lpwstr/>
  </property>
  <property fmtid="{D5CDD505-2E9C-101B-9397-08002B2CF9AE}" pid="11" name="xd_ProgID">
    <vt:lpwstr/>
  </property>
  <property fmtid="{D5CDD505-2E9C-101B-9397-08002B2CF9AE}" pid="12" name="_CopySource">
    <vt:lpwstr>https://britishcouncil.sharepoint.com/sites/uk_science/researcher-connect/202021 PDE Records and Toolkit/Peru/2. Delivery/Scientific Advisory Unit/1. Planning/5. Agreement/Annex 1_Draft Contract_Newton Peru_PDE Scientific Advisory Unit.doc</vt:lpwstr>
  </property>
  <property fmtid="{D5CDD505-2E9C-101B-9397-08002B2CF9AE}" pid="13" name="Order">
    <vt:lpwstr>40900.0000000000</vt:lpwstr>
  </property>
  <property fmtid="{D5CDD505-2E9C-101B-9397-08002B2CF9AE}" pid="14" name="OWNER">
    <vt:lpwstr>28</vt:lpwstr>
  </property>
  <property fmtid="{D5CDD505-2E9C-101B-9397-08002B2CF9AE}" pid="15" name="display_urn:schemas-microsoft-com:office:office#OWNER">
    <vt:lpwstr>Copete, Victoria (Peru)</vt:lpwstr>
  </property>
  <property fmtid="{D5CDD505-2E9C-101B-9397-08002B2CF9AE}" pid="16" name="ContentTypeId">
    <vt:lpwstr>0x010100AD94206B0B5D5B438E3BCAADC09D7906</vt:lpwstr>
  </property>
</Properties>
</file>