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75"/>
        <w:gridCol w:w="9900"/>
      </w:tblGrid>
      <w:tr w:rsidR="002F247C" w:rsidRPr="00DA59DB" w14:paraId="00C8A26D" w14:textId="77777777" w:rsidTr="00E825C0">
        <w:tc>
          <w:tcPr>
            <w:tcW w:w="13675" w:type="dxa"/>
            <w:gridSpan w:val="2"/>
          </w:tcPr>
          <w:p w14:paraId="5FC72080" w14:textId="3411BFE7" w:rsidR="002F247C" w:rsidRPr="00DA59DB" w:rsidRDefault="002F247C">
            <w:pPr>
              <w:rPr>
                <w:rFonts w:ascii="Arial" w:hAnsi="Arial" w:cs="Arial"/>
                <w:b/>
                <w:bCs/>
                <w:sz w:val="24"/>
                <w:szCs w:val="24"/>
              </w:rPr>
            </w:pPr>
            <w:r w:rsidRPr="00DA59DB">
              <w:rPr>
                <w:rFonts w:ascii="Arial" w:hAnsi="Arial" w:cs="Arial"/>
                <w:b/>
                <w:bCs/>
                <w:sz w:val="24"/>
                <w:szCs w:val="24"/>
              </w:rPr>
              <w:t xml:space="preserve">University Grants Commission’s draft regulations for setting up and operation of </w:t>
            </w:r>
            <w:r w:rsidR="00DA59DB" w:rsidRPr="00DA59DB">
              <w:rPr>
                <w:rFonts w:ascii="Arial" w:hAnsi="Arial" w:cs="Arial"/>
                <w:b/>
                <w:bCs/>
                <w:sz w:val="24"/>
                <w:szCs w:val="24"/>
              </w:rPr>
              <w:t>I</w:t>
            </w:r>
            <w:r w:rsidRPr="00DA59DB">
              <w:rPr>
                <w:rFonts w:ascii="Arial" w:hAnsi="Arial" w:cs="Arial"/>
                <w:b/>
                <w:bCs/>
                <w:sz w:val="24"/>
                <w:szCs w:val="24"/>
              </w:rPr>
              <w:t xml:space="preserve">nternational </w:t>
            </w:r>
            <w:r w:rsidR="00DA59DB" w:rsidRPr="00DA59DB">
              <w:rPr>
                <w:rFonts w:ascii="Arial" w:hAnsi="Arial" w:cs="Arial"/>
                <w:b/>
                <w:bCs/>
                <w:sz w:val="24"/>
                <w:szCs w:val="24"/>
              </w:rPr>
              <w:t>B</w:t>
            </w:r>
            <w:r w:rsidRPr="00DA59DB">
              <w:rPr>
                <w:rFonts w:ascii="Arial" w:hAnsi="Arial" w:cs="Arial"/>
                <w:b/>
                <w:bCs/>
                <w:sz w:val="24"/>
                <w:szCs w:val="24"/>
              </w:rPr>
              <w:t xml:space="preserve">ranch </w:t>
            </w:r>
            <w:r w:rsidR="00DA59DB" w:rsidRPr="00DA59DB">
              <w:rPr>
                <w:rFonts w:ascii="Arial" w:hAnsi="Arial" w:cs="Arial"/>
                <w:b/>
                <w:bCs/>
                <w:sz w:val="24"/>
                <w:szCs w:val="24"/>
              </w:rPr>
              <w:t>Ca</w:t>
            </w:r>
            <w:r w:rsidRPr="00DA59DB">
              <w:rPr>
                <w:rFonts w:ascii="Arial" w:hAnsi="Arial" w:cs="Arial"/>
                <w:b/>
                <w:bCs/>
                <w:sz w:val="24"/>
                <w:szCs w:val="24"/>
              </w:rPr>
              <w:t xml:space="preserve">mpus by </w:t>
            </w:r>
            <w:r w:rsidR="00DA59DB" w:rsidRPr="00DA59DB">
              <w:rPr>
                <w:rFonts w:ascii="Arial" w:hAnsi="Arial" w:cs="Arial"/>
                <w:b/>
                <w:bCs/>
                <w:sz w:val="24"/>
                <w:szCs w:val="24"/>
              </w:rPr>
              <w:t>F</w:t>
            </w:r>
            <w:r w:rsidRPr="00DA59DB">
              <w:rPr>
                <w:rFonts w:ascii="Arial" w:hAnsi="Arial" w:cs="Arial"/>
                <w:b/>
                <w:bCs/>
                <w:sz w:val="24"/>
                <w:szCs w:val="24"/>
              </w:rPr>
              <w:t xml:space="preserve">oreign </w:t>
            </w:r>
            <w:r w:rsidR="00DA59DB" w:rsidRPr="00DA59DB">
              <w:rPr>
                <w:rFonts w:ascii="Arial" w:hAnsi="Arial" w:cs="Arial"/>
                <w:b/>
                <w:bCs/>
                <w:sz w:val="24"/>
                <w:szCs w:val="24"/>
              </w:rPr>
              <w:t>H</w:t>
            </w:r>
            <w:r w:rsidRPr="00DA59DB">
              <w:rPr>
                <w:rFonts w:ascii="Arial" w:hAnsi="Arial" w:cs="Arial"/>
                <w:b/>
                <w:bCs/>
                <w:sz w:val="24"/>
                <w:szCs w:val="24"/>
              </w:rPr>
              <w:t xml:space="preserve">igher </w:t>
            </w:r>
            <w:r w:rsidR="00DA59DB" w:rsidRPr="00DA59DB">
              <w:rPr>
                <w:rFonts w:ascii="Arial" w:hAnsi="Arial" w:cs="Arial"/>
                <w:b/>
                <w:bCs/>
                <w:sz w:val="24"/>
                <w:szCs w:val="24"/>
              </w:rPr>
              <w:t>E</w:t>
            </w:r>
            <w:r w:rsidRPr="00DA59DB">
              <w:rPr>
                <w:rFonts w:ascii="Arial" w:hAnsi="Arial" w:cs="Arial"/>
                <w:b/>
                <w:bCs/>
                <w:sz w:val="24"/>
                <w:szCs w:val="24"/>
              </w:rPr>
              <w:t xml:space="preserve">ducation </w:t>
            </w:r>
            <w:r w:rsidR="00DA59DB" w:rsidRPr="00DA59DB">
              <w:rPr>
                <w:rFonts w:ascii="Arial" w:hAnsi="Arial" w:cs="Arial"/>
                <w:b/>
                <w:bCs/>
                <w:sz w:val="24"/>
                <w:szCs w:val="24"/>
              </w:rPr>
              <w:t>I</w:t>
            </w:r>
            <w:r w:rsidRPr="00DA59DB">
              <w:rPr>
                <w:rFonts w:ascii="Arial" w:hAnsi="Arial" w:cs="Arial"/>
                <w:b/>
                <w:bCs/>
                <w:sz w:val="24"/>
                <w:szCs w:val="24"/>
              </w:rPr>
              <w:t>nstitutions in India</w:t>
            </w:r>
          </w:p>
          <w:p w14:paraId="6713E1C1" w14:textId="13A9904B" w:rsidR="002F247C" w:rsidRPr="00DA59DB" w:rsidRDefault="002F247C">
            <w:pPr>
              <w:rPr>
                <w:rFonts w:ascii="Arial" w:hAnsi="Arial" w:cs="Arial"/>
                <w:b/>
                <w:bCs/>
                <w:sz w:val="24"/>
                <w:szCs w:val="24"/>
              </w:rPr>
            </w:pPr>
          </w:p>
        </w:tc>
      </w:tr>
      <w:tr w:rsidR="002F247C" w:rsidRPr="00DA59DB" w14:paraId="17FCA428" w14:textId="77777777" w:rsidTr="00E825C0">
        <w:tc>
          <w:tcPr>
            <w:tcW w:w="13675" w:type="dxa"/>
            <w:gridSpan w:val="2"/>
          </w:tcPr>
          <w:p w14:paraId="6201456D" w14:textId="445C2AA8" w:rsidR="002F247C" w:rsidRDefault="002F247C" w:rsidP="002F247C">
            <w:pPr>
              <w:rPr>
                <w:rFonts w:ascii="Arial" w:hAnsi="Arial" w:cs="Arial"/>
                <w:sz w:val="24"/>
                <w:szCs w:val="24"/>
                <w:u w:val="single"/>
              </w:rPr>
            </w:pPr>
            <w:r w:rsidRPr="00DA59DB">
              <w:rPr>
                <w:rFonts w:ascii="Arial" w:hAnsi="Arial" w:cs="Arial"/>
                <w:sz w:val="24"/>
                <w:szCs w:val="24"/>
                <w:u w:val="single"/>
              </w:rPr>
              <w:t>Overall comments:</w:t>
            </w:r>
          </w:p>
          <w:p w14:paraId="1EDD3697" w14:textId="2784043E" w:rsidR="00DA59DB" w:rsidRDefault="00DA59DB" w:rsidP="002F247C">
            <w:pPr>
              <w:rPr>
                <w:rFonts w:ascii="Arial" w:hAnsi="Arial" w:cs="Arial"/>
                <w:sz w:val="24"/>
                <w:szCs w:val="24"/>
                <w:u w:val="single"/>
              </w:rPr>
            </w:pPr>
          </w:p>
          <w:p w14:paraId="0EA379A5" w14:textId="307E6E7B" w:rsidR="00DA59DB" w:rsidRDefault="00DA59DB" w:rsidP="002F247C">
            <w:pPr>
              <w:rPr>
                <w:rFonts w:ascii="Arial" w:hAnsi="Arial" w:cs="Arial"/>
                <w:sz w:val="24"/>
                <w:szCs w:val="24"/>
                <w:u w:val="single"/>
              </w:rPr>
            </w:pPr>
          </w:p>
          <w:p w14:paraId="06624E58" w14:textId="77777777" w:rsidR="002F247C" w:rsidRPr="00DA59DB" w:rsidRDefault="002F247C" w:rsidP="002F247C">
            <w:pPr>
              <w:rPr>
                <w:rFonts w:ascii="Arial" w:hAnsi="Arial" w:cs="Arial"/>
                <w:sz w:val="24"/>
                <w:szCs w:val="24"/>
              </w:rPr>
            </w:pPr>
          </w:p>
          <w:p w14:paraId="2B22B203" w14:textId="6D13E2B2" w:rsidR="002F247C" w:rsidRPr="00DA59DB" w:rsidRDefault="002F247C" w:rsidP="002F247C">
            <w:pPr>
              <w:rPr>
                <w:rFonts w:ascii="Arial" w:hAnsi="Arial" w:cs="Arial"/>
                <w:sz w:val="24"/>
                <w:szCs w:val="24"/>
              </w:rPr>
            </w:pPr>
          </w:p>
          <w:p w14:paraId="2EECBD0D" w14:textId="77777777" w:rsidR="002F247C" w:rsidRPr="00DA59DB" w:rsidRDefault="002F247C" w:rsidP="002F247C">
            <w:pPr>
              <w:rPr>
                <w:rFonts w:ascii="Arial" w:hAnsi="Arial" w:cs="Arial"/>
                <w:sz w:val="24"/>
                <w:szCs w:val="24"/>
              </w:rPr>
            </w:pPr>
          </w:p>
          <w:p w14:paraId="0FD5CBEB" w14:textId="77777777" w:rsidR="002F247C" w:rsidRPr="00DA59DB" w:rsidRDefault="002F247C">
            <w:pPr>
              <w:rPr>
                <w:rFonts w:ascii="Arial" w:hAnsi="Arial" w:cs="Arial"/>
                <w:sz w:val="24"/>
                <w:szCs w:val="24"/>
              </w:rPr>
            </w:pPr>
          </w:p>
        </w:tc>
      </w:tr>
      <w:tr w:rsidR="002F247C" w:rsidRPr="00DA59DB" w14:paraId="6F60BDE1" w14:textId="77777777" w:rsidTr="00E825C0">
        <w:tc>
          <w:tcPr>
            <w:tcW w:w="3775" w:type="dxa"/>
          </w:tcPr>
          <w:p w14:paraId="6032AEED" w14:textId="79EF9281" w:rsidR="002F247C" w:rsidRPr="00DA59DB" w:rsidRDefault="00E825C0" w:rsidP="00FB410B">
            <w:pPr>
              <w:rPr>
                <w:rFonts w:ascii="Arial" w:hAnsi="Arial" w:cs="Arial"/>
                <w:sz w:val="24"/>
                <w:szCs w:val="24"/>
              </w:rPr>
            </w:pPr>
            <w:r w:rsidRPr="00DA59DB">
              <w:rPr>
                <w:rFonts w:ascii="Arial" w:hAnsi="Arial" w:cs="Arial"/>
                <w:b/>
                <w:bCs/>
                <w:sz w:val="24"/>
                <w:szCs w:val="24"/>
              </w:rPr>
              <w:t xml:space="preserve">Specific sections of the regulations </w:t>
            </w:r>
          </w:p>
        </w:tc>
        <w:tc>
          <w:tcPr>
            <w:tcW w:w="9900" w:type="dxa"/>
          </w:tcPr>
          <w:p w14:paraId="136D9E5B" w14:textId="75ECD934" w:rsidR="002F247C" w:rsidRPr="00DA59DB" w:rsidRDefault="002F247C" w:rsidP="00FB410B">
            <w:pPr>
              <w:rPr>
                <w:rFonts w:ascii="Arial" w:hAnsi="Arial" w:cs="Arial"/>
                <w:b/>
                <w:bCs/>
                <w:sz w:val="24"/>
                <w:szCs w:val="24"/>
              </w:rPr>
            </w:pPr>
            <w:r w:rsidRPr="00DA59DB">
              <w:rPr>
                <w:rFonts w:ascii="Arial" w:hAnsi="Arial" w:cs="Arial"/>
                <w:b/>
                <w:bCs/>
                <w:sz w:val="24"/>
                <w:szCs w:val="24"/>
              </w:rPr>
              <w:t>Comments</w:t>
            </w:r>
          </w:p>
        </w:tc>
      </w:tr>
      <w:tr w:rsidR="00F80E37" w:rsidRPr="00DA59DB" w14:paraId="481FB8D6" w14:textId="77777777" w:rsidTr="00E825C0">
        <w:tc>
          <w:tcPr>
            <w:tcW w:w="3775" w:type="dxa"/>
          </w:tcPr>
          <w:p w14:paraId="56882DBD" w14:textId="77777777" w:rsidR="00F80E37" w:rsidRPr="00DA59DB" w:rsidRDefault="00F80E37">
            <w:pPr>
              <w:rPr>
                <w:rFonts w:ascii="Arial" w:hAnsi="Arial" w:cs="Arial"/>
                <w:sz w:val="24"/>
                <w:szCs w:val="24"/>
              </w:rPr>
            </w:pPr>
            <w:r w:rsidRPr="00DA59DB">
              <w:rPr>
                <w:rFonts w:ascii="Arial" w:hAnsi="Arial" w:cs="Arial"/>
                <w:sz w:val="24"/>
                <w:szCs w:val="24"/>
              </w:rPr>
              <w:t xml:space="preserve">Eligibility </w:t>
            </w:r>
          </w:p>
          <w:p w14:paraId="18795D3C" w14:textId="77777777" w:rsidR="002768D9" w:rsidRPr="00DA59DB" w:rsidRDefault="00444FD7" w:rsidP="002768D9">
            <w:pPr>
              <w:pStyle w:val="ListParagraph"/>
              <w:numPr>
                <w:ilvl w:val="0"/>
                <w:numId w:val="2"/>
              </w:numPr>
              <w:rPr>
                <w:rFonts w:ascii="Arial" w:hAnsi="Arial" w:cs="Arial"/>
                <w:sz w:val="24"/>
                <w:szCs w:val="24"/>
              </w:rPr>
            </w:pPr>
            <w:r w:rsidRPr="00DA59DB">
              <w:rPr>
                <w:rFonts w:ascii="Arial" w:hAnsi="Arial" w:cs="Arial"/>
                <w:sz w:val="24"/>
                <w:szCs w:val="24"/>
              </w:rPr>
              <w:t>foreign university</w:t>
            </w:r>
          </w:p>
          <w:p w14:paraId="5B25F6EC" w14:textId="7765C5BC" w:rsidR="00444FD7" w:rsidRPr="00DA59DB" w:rsidRDefault="00444FD7" w:rsidP="002768D9">
            <w:pPr>
              <w:pStyle w:val="ListParagraph"/>
              <w:numPr>
                <w:ilvl w:val="0"/>
                <w:numId w:val="2"/>
              </w:numPr>
              <w:rPr>
                <w:rFonts w:ascii="Arial" w:hAnsi="Arial" w:cs="Arial"/>
                <w:sz w:val="24"/>
                <w:szCs w:val="24"/>
              </w:rPr>
            </w:pPr>
            <w:r w:rsidRPr="00DA59DB">
              <w:rPr>
                <w:rFonts w:ascii="Arial" w:hAnsi="Arial" w:cs="Arial"/>
                <w:sz w:val="24"/>
                <w:szCs w:val="24"/>
              </w:rPr>
              <w:t>foreign educational institution</w:t>
            </w:r>
          </w:p>
        </w:tc>
        <w:tc>
          <w:tcPr>
            <w:tcW w:w="9900" w:type="dxa"/>
          </w:tcPr>
          <w:p w14:paraId="5A7EA8D4" w14:textId="77777777" w:rsidR="00F80E37" w:rsidRPr="00DA59DB" w:rsidRDefault="00F80E37">
            <w:pPr>
              <w:rPr>
                <w:rFonts w:ascii="Arial" w:hAnsi="Arial" w:cs="Arial"/>
                <w:sz w:val="24"/>
                <w:szCs w:val="24"/>
              </w:rPr>
            </w:pPr>
          </w:p>
        </w:tc>
      </w:tr>
      <w:tr w:rsidR="00F80E37" w:rsidRPr="00DA59DB" w14:paraId="5B32C68A" w14:textId="77777777" w:rsidTr="00E825C0">
        <w:tc>
          <w:tcPr>
            <w:tcW w:w="3775" w:type="dxa"/>
          </w:tcPr>
          <w:p w14:paraId="00EDA8BC" w14:textId="77777777" w:rsidR="00F80E37" w:rsidRPr="00DA59DB" w:rsidRDefault="00F80E37">
            <w:pPr>
              <w:rPr>
                <w:rFonts w:ascii="Arial" w:hAnsi="Arial" w:cs="Arial"/>
                <w:sz w:val="24"/>
                <w:szCs w:val="24"/>
              </w:rPr>
            </w:pPr>
            <w:r w:rsidRPr="00DA59DB">
              <w:rPr>
                <w:rFonts w:ascii="Arial" w:hAnsi="Arial" w:cs="Arial"/>
                <w:sz w:val="24"/>
                <w:szCs w:val="24"/>
              </w:rPr>
              <w:t>Procedure for approval</w:t>
            </w:r>
          </w:p>
          <w:p w14:paraId="77BCEF9B" w14:textId="77777777" w:rsidR="00444FD7" w:rsidRPr="00DA59DB" w:rsidRDefault="00444FD7" w:rsidP="00444FD7">
            <w:pPr>
              <w:pStyle w:val="ListParagraph"/>
              <w:numPr>
                <w:ilvl w:val="0"/>
                <w:numId w:val="1"/>
              </w:numPr>
              <w:rPr>
                <w:rFonts w:ascii="Arial" w:hAnsi="Arial" w:cs="Arial"/>
                <w:sz w:val="24"/>
                <w:szCs w:val="24"/>
              </w:rPr>
            </w:pPr>
            <w:r w:rsidRPr="00DA59DB">
              <w:rPr>
                <w:rFonts w:ascii="Arial" w:hAnsi="Arial" w:cs="Arial"/>
                <w:sz w:val="24"/>
                <w:szCs w:val="24"/>
              </w:rPr>
              <w:t>Documentation</w:t>
            </w:r>
          </w:p>
          <w:p w14:paraId="0402D232" w14:textId="63D64598" w:rsidR="00444FD7" w:rsidRPr="00DA59DB" w:rsidRDefault="00444FD7" w:rsidP="00444FD7">
            <w:pPr>
              <w:pStyle w:val="ListParagraph"/>
              <w:numPr>
                <w:ilvl w:val="0"/>
                <w:numId w:val="1"/>
              </w:numPr>
              <w:rPr>
                <w:rFonts w:ascii="Arial" w:hAnsi="Arial" w:cs="Arial"/>
                <w:sz w:val="24"/>
                <w:szCs w:val="24"/>
              </w:rPr>
            </w:pPr>
            <w:r w:rsidRPr="00DA59DB">
              <w:rPr>
                <w:rFonts w:ascii="Arial" w:hAnsi="Arial" w:cs="Arial"/>
                <w:sz w:val="24"/>
                <w:szCs w:val="24"/>
              </w:rPr>
              <w:t>Undertaking</w:t>
            </w:r>
          </w:p>
        </w:tc>
        <w:tc>
          <w:tcPr>
            <w:tcW w:w="9900" w:type="dxa"/>
          </w:tcPr>
          <w:p w14:paraId="7B468394" w14:textId="77777777" w:rsidR="00F80E37" w:rsidRPr="00DA59DB" w:rsidRDefault="00F80E37">
            <w:pPr>
              <w:rPr>
                <w:rFonts w:ascii="Arial" w:hAnsi="Arial" w:cs="Arial"/>
                <w:sz w:val="24"/>
                <w:szCs w:val="24"/>
              </w:rPr>
            </w:pPr>
          </w:p>
        </w:tc>
      </w:tr>
      <w:tr w:rsidR="0055611A" w:rsidRPr="00DA59DB" w14:paraId="6EAD3444" w14:textId="77777777" w:rsidTr="00E825C0">
        <w:tc>
          <w:tcPr>
            <w:tcW w:w="3775" w:type="dxa"/>
          </w:tcPr>
          <w:p w14:paraId="2C96BAF7" w14:textId="7F645F61" w:rsidR="0055611A" w:rsidRPr="00DA59DB" w:rsidRDefault="0055611A">
            <w:pPr>
              <w:rPr>
                <w:rFonts w:ascii="Arial" w:hAnsi="Arial" w:cs="Arial"/>
                <w:sz w:val="24"/>
                <w:szCs w:val="24"/>
              </w:rPr>
            </w:pPr>
            <w:r w:rsidRPr="00DA59DB">
              <w:rPr>
                <w:rFonts w:ascii="Arial" w:hAnsi="Arial" w:cs="Arial"/>
                <w:sz w:val="24"/>
                <w:szCs w:val="24"/>
              </w:rPr>
              <w:t>Physical infrastructure:  built-up space for academic programmes</w:t>
            </w:r>
          </w:p>
        </w:tc>
        <w:tc>
          <w:tcPr>
            <w:tcW w:w="9900" w:type="dxa"/>
          </w:tcPr>
          <w:p w14:paraId="2D8F5499" w14:textId="77777777" w:rsidR="0055611A" w:rsidRPr="00DA59DB" w:rsidRDefault="0055611A">
            <w:pPr>
              <w:rPr>
                <w:rFonts w:ascii="Arial" w:hAnsi="Arial" w:cs="Arial"/>
                <w:sz w:val="24"/>
                <w:szCs w:val="24"/>
              </w:rPr>
            </w:pPr>
          </w:p>
        </w:tc>
      </w:tr>
      <w:tr w:rsidR="00F80E37" w:rsidRPr="00DA59DB" w14:paraId="05B768B5" w14:textId="77777777" w:rsidTr="00E825C0">
        <w:tc>
          <w:tcPr>
            <w:tcW w:w="3775" w:type="dxa"/>
          </w:tcPr>
          <w:p w14:paraId="2BC04EC9" w14:textId="77777777" w:rsidR="00F80E37" w:rsidRPr="00DA59DB" w:rsidRDefault="00F80E37">
            <w:pPr>
              <w:rPr>
                <w:rFonts w:ascii="Arial" w:hAnsi="Arial" w:cs="Arial"/>
                <w:sz w:val="24"/>
                <w:szCs w:val="24"/>
              </w:rPr>
            </w:pPr>
            <w:r w:rsidRPr="00DA59DB">
              <w:rPr>
                <w:rFonts w:ascii="Arial" w:hAnsi="Arial" w:cs="Arial"/>
                <w:sz w:val="24"/>
                <w:szCs w:val="24"/>
              </w:rPr>
              <w:t>Admission Process for students</w:t>
            </w:r>
          </w:p>
          <w:p w14:paraId="56B53EF0" w14:textId="77777777" w:rsidR="002768D9" w:rsidRPr="00DA59DB" w:rsidRDefault="002768D9" w:rsidP="002768D9">
            <w:pPr>
              <w:pStyle w:val="ListParagraph"/>
              <w:numPr>
                <w:ilvl w:val="0"/>
                <w:numId w:val="3"/>
              </w:numPr>
              <w:rPr>
                <w:rFonts w:ascii="Arial" w:hAnsi="Arial" w:cs="Arial"/>
                <w:sz w:val="24"/>
                <w:szCs w:val="24"/>
              </w:rPr>
            </w:pPr>
            <w:r w:rsidRPr="00DA59DB">
              <w:rPr>
                <w:rFonts w:ascii="Arial" w:hAnsi="Arial" w:cs="Arial"/>
                <w:sz w:val="24"/>
                <w:szCs w:val="24"/>
              </w:rPr>
              <w:t>Criteria for domestic students and international students</w:t>
            </w:r>
          </w:p>
          <w:p w14:paraId="2FF33652" w14:textId="77777777" w:rsidR="002768D9" w:rsidRPr="00DA59DB" w:rsidRDefault="002768D9" w:rsidP="002768D9">
            <w:pPr>
              <w:pStyle w:val="ListParagraph"/>
              <w:numPr>
                <w:ilvl w:val="0"/>
                <w:numId w:val="3"/>
              </w:numPr>
              <w:rPr>
                <w:rFonts w:ascii="Arial" w:hAnsi="Arial" w:cs="Arial"/>
                <w:sz w:val="24"/>
                <w:szCs w:val="24"/>
              </w:rPr>
            </w:pPr>
            <w:r w:rsidRPr="00DA59DB">
              <w:rPr>
                <w:rFonts w:ascii="Arial" w:hAnsi="Arial" w:cs="Arial"/>
                <w:sz w:val="24"/>
                <w:szCs w:val="24"/>
              </w:rPr>
              <w:t>Eligibility qualifications</w:t>
            </w:r>
          </w:p>
          <w:p w14:paraId="1BE6FD59" w14:textId="77777777" w:rsidR="002768D9" w:rsidRPr="00DA59DB" w:rsidRDefault="002768D9" w:rsidP="002768D9">
            <w:pPr>
              <w:pStyle w:val="ListParagraph"/>
              <w:numPr>
                <w:ilvl w:val="0"/>
                <w:numId w:val="3"/>
              </w:numPr>
              <w:rPr>
                <w:rFonts w:ascii="Arial" w:hAnsi="Arial" w:cs="Arial"/>
                <w:sz w:val="24"/>
                <w:szCs w:val="24"/>
              </w:rPr>
            </w:pPr>
            <w:r w:rsidRPr="00DA59DB">
              <w:rPr>
                <w:rFonts w:ascii="Arial" w:hAnsi="Arial" w:cs="Arial"/>
                <w:sz w:val="24"/>
                <w:szCs w:val="24"/>
              </w:rPr>
              <w:t>Number of seats</w:t>
            </w:r>
          </w:p>
          <w:p w14:paraId="45F78D0D" w14:textId="7DA35AFF" w:rsidR="002768D9" w:rsidRPr="00DA59DB" w:rsidRDefault="002768D9" w:rsidP="002768D9">
            <w:pPr>
              <w:pStyle w:val="ListParagraph"/>
              <w:numPr>
                <w:ilvl w:val="0"/>
                <w:numId w:val="3"/>
              </w:numPr>
              <w:rPr>
                <w:rFonts w:ascii="Arial" w:hAnsi="Arial" w:cs="Arial"/>
                <w:sz w:val="24"/>
                <w:szCs w:val="24"/>
              </w:rPr>
            </w:pPr>
            <w:r w:rsidRPr="00DA59DB">
              <w:rPr>
                <w:rFonts w:ascii="Arial" w:hAnsi="Arial" w:cs="Arial"/>
                <w:sz w:val="24"/>
                <w:szCs w:val="24"/>
              </w:rPr>
              <w:t>Refund policy</w:t>
            </w:r>
          </w:p>
        </w:tc>
        <w:tc>
          <w:tcPr>
            <w:tcW w:w="9900" w:type="dxa"/>
          </w:tcPr>
          <w:p w14:paraId="44EAFB4C" w14:textId="77777777" w:rsidR="00F80E37" w:rsidRPr="00DA59DB" w:rsidRDefault="00F80E37">
            <w:pPr>
              <w:rPr>
                <w:rFonts w:ascii="Arial" w:hAnsi="Arial" w:cs="Arial"/>
                <w:sz w:val="24"/>
                <w:szCs w:val="24"/>
              </w:rPr>
            </w:pPr>
          </w:p>
        </w:tc>
      </w:tr>
      <w:tr w:rsidR="00F80E37" w:rsidRPr="00DA59DB" w14:paraId="615D87B5" w14:textId="77777777" w:rsidTr="00E825C0">
        <w:tc>
          <w:tcPr>
            <w:tcW w:w="3775" w:type="dxa"/>
          </w:tcPr>
          <w:p w14:paraId="449B8A2F" w14:textId="5A85DA53" w:rsidR="00F80E37" w:rsidRPr="00DA59DB" w:rsidRDefault="00F80E37">
            <w:pPr>
              <w:rPr>
                <w:rFonts w:ascii="Arial" w:hAnsi="Arial" w:cs="Arial"/>
                <w:sz w:val="24"/>
                <w:szCs w:val="24"/>
              </w:rPr>
            </w:pPr>
            <w:r w:rsidRPr="00DA59DB">
              <w:rPr>
                <w:rFonts w:ascii="Arial" w:hAnsi="Arial" w:cs="Arial"/>
                <w:sz w:val="24"/>
                <w:szCs w:val="24"/>
              </w:rPr>
              <w:t>Fee Structure</w:t>
            </w:r>
          </w:p>
          <w:p w14:paraId="68388FEA" w14:textId="397E7D59" w:rsidR="002768D9" w:rsidRPr="00DA59DB" w:rsidRDefault="002768D9" w:rsidP="002768D9">
            <w:pPr>
              <w:pStyle w:val="ListParagraph"/>
              <w:rPr>
                <w:rFonts w:ascii="Arial" w:hAnsi="Arial" w:cs="Arial"/>
                <w:sz w:val="24"/>
                <w:szCs w:val="24"/>
              </w:rPr>
            </w:pPr>
          </w:p>
        </w:tc>
        <w:tc>
          <w:tcPr>
            <w:tcW w:w="9900" w:type="dxa"/>
          </w:tcPr>
          <w:p w14:paraId="5CF5EBA2" w14:textId="77777777" w:rsidR="00F80E37" w:rsidRPr="00DA59DB" w:rsidRDefault="00F80E37">
            <w:pPr>
              <w:rPr>
                <w:rFonts w:ascii="Arial" w:hAnsi="Arial" w:cs="Arial"/>
                <w:sz w:val="24"/>
                <w:szCs w:val="24"/>
              </w:rPr>
            </w:pPr>
          </w:p>
        </w:tc>
      </w:tr>
      <w:tr w:rsidR="00F80E37" w:rsidRPr="00DA59DB" w14:paraId="348B87C1" w14:textId="77777777" w:rsidTr="00E825C0">
        <w:tc>
          <w:tcPr>
            <w:tcW w:w="3775" w:type="dxa"/>
          </w:tcPr>
          <w:p w14:paraId="7D6ADBCF" w14:textId="077F93CE" w:rsidR="00F80E37" w:rsidRPr="00DA59DB" w:rsidRDefault="00F80E37">
            <w:pPr>
              <w:rPr>
                <w:rFonts w:ascii="Arial" w:hAnsi="Arial" w:cs="Arial"/>
                <w:sz w:val="24"/>
                <w:szCs w:val="24"/>
              </w:rPr>
            </w:pPr>
            <w:r w:rsidRPr="00DA59DB">
              <w:rPr>
                <w:rFonts w:ascii="Arial" w:hAnsi="Arial" w:cs="Arial"/>
                <w:sz w:val="24"/>
                <w:szCs w:val="24"/>
              </w:rPr>
              <w:lastRenderedPageBreak/>
              <w:t>Appointment of faculty and staff and other service conditions</w:t>
            </w:r>
          </w:p>
          <w:p w14:paraId="44560633" w14:textId="0A2F4B38" w:rsidR="002768D9" w:rsidRPr="00DA59DB" w:rsidRDefault="002768D9" w:rsidP="002768D9">
            <w:pPr>
              <w:pStyle w:val="ListParagraph"/>
              <w:numPr>
                <w:ilvl w:val="0"/>
                <w:numId w:val="5"/>
              </w:numPr>
              <w:rPr>
                <w:rFonts w:ascii="Arial" w:hAnsi="Arial" w:cs="Arial"/>
                <w:sz w:val="24"/>
                <w:szCs w:val="24"/>
              </w:rPr>
            </w:pPr>
            <w:r w:rsidRPr="00DA59DB">
              <w:rPr>
                <w:rFonts w:ascii="Arial" w:hAnsi="Arial" w:cs="Arial"/>
                <w:sz w:val="24"/>
                <w:szCs w:val="24"/>
              </w:rPr>
              <w:t>Qualifications of faculty</w:t>
            </w:r>
          </w:p>
          <w:p w14:paraId="53654AD5" w14:textId="7D156BE4" w:rsidR="002768D9" w:rsidRPr="00DA59DB" w:rsidRDefault="002768D9" w:rsidP="002768D9">
            <w:pPr>
              <w:pStyle w:val="ListParagraph"/>
              <w:numPr>
                <w:ilvl w:val="0"/>
                <w:numId w:val="5"/>
              </w:numPr>
              <w:rPr>
                <w:rFonts w:ascii="Arial" w:hAnsi="Arial" w:cs="Arial"/>
                <w:sz w:val="24"/>
                <w:szCs w:val="24"/>
              </w:rPr>
            </w:pPr>
            <w:r w:rsidRPr="00DA59DB">
              <w:rPr>
                <w:rFonts w:ascii="Arial" w:hAnsi="Arial" w:cs="Arial"/>
                <w:sz w:val="24"/>
                <w:szCs w:val="24"/>
              </w:rPr>
              <w:t>Salary structure</w:t>
            </w:r>
          </w:p>
          <w:p w14:paraId="5C2C0D22" w14:textId="34F02C22" w:rsidR="002768D9" w:rsidRPr="00DA59DB" w:rsidRDefault="002768D9" w:rsidP="0055611A">
            <w:pPr>
              <w:pStyle w:val="ListParagraph"/>
              <w:numPr>
                <w:ilvl w:val="0"/>
                <w:numId w:val="5"/>
              </w:numPr>
              <w:rPr>
                <w:rFonts w:ascii="Arial" w:hAnsi="Arial" w:cs="Arial"/>
                <w:sz w:val="24"/>
                <w:szCs w:val="24"/>
              </w:rPr>
            </w:pPr>
            <w:r w:rsidRPr="00DA59DB">
              <w:rPr>
                <w:rFonts w:ascii="Arial" w:hAnsi="Arial" w:cs="Arial"/>
                <w:sz w:val="24"/>
                <w:szCs w:val="24"/>
              </w:rPr>
              <w:t>Location of faculty</w:t>
            </w:r>
          </w:p>
        </w:tc>
        <w:tc>
          <w:tcPr>
            <w:tcW w:w="9900" w:type="dxa"/>
          </w:tcPr>
          <w:p w14:paraId="2100BE26" w14:textId="77777777" w:rsidR="00F80E37" w:rsidRPr="00DA59DB" w:rsidRDefault="00F80E37">
            <w:pPr>
              <w:rPr>
                <w:rFonts w:ascii="Arial" w:hAnsi="Arial" w:cs="Arial"/>
                <w:sz w:val="24"/>
                <w:szCs w:val="24"/>
              </w:rPr>
            </w:pPr>
          </w:p>
        </w:tc>
      </w:tr>
      <w:tr w:rsidR="002768D9" w:rsidRPr="00DA59DB" w14:paraId="53D0C15C" w14:textId="77777777" w:rsidTr="00E825C0">
        <w:trPr>
          <w:trHeight w:val="107"/>
        </w:trPr>
        <w:tc>
          <w:tcPr>
            <w:tcW w:w="3775" w:type="dxa"/>
          </w:tcPr>
          <w:p w14:paraId="741FDF3E" w14:textId="7B73286C" w:rsidR="002768D9" w:rsidRPr="00DA59DB" w:rsidRDefault="0055611A">
            <w:pPr>
              <w:rPr>
                <w:rFonts w:ascii="Arial" w:hAnsi="Arial" w:cs="Arial"/>
                <w:sz w:val="24"/>
                <w:szCs w:val="24"/>
              </w:rPr>
            </w:pPr>
            <w:r w:rsidRPr="00DA59DB">
              <w:rPr>
                <w:rFonts w:ascii="Arial" w:hAnsi="Arial" w:cs="Arial"/>
                <w:sz w:val="24"/>
                <w:szCs w:val="24"/>
              </w:rPr>
              <w:t>Qualification and Equivalence of award</w:t>
            </w:r>
          </w:p>
          <w:p w14:paraId="3074DC87" w14:textId="57585E20" w:rsidR="0055611A" w:rsidRPr="00DA59DB" w:rsidRDefault="0055611A">
            <w:pPr>
              <w:rPr>
                <w:rFonts w:ascii="Arial" w:hAnsi="Arial" w:cs="Arial"/>
                <w:sz w:val="24"/>
                <w:szCs w:val="24"/>
              </w:rPr>
            </w:pPr>
          </w:p>
        </w:tc>
        <w:tc>
          <w:tcPr>
            <w:tcW w:w="9900" w:type="dxa"/>
          </w:tcPr>
          <w:p w14:paraId="0E3CF6B2" w14:textId="77777777" w:rsidR="002768D9" w:rsidRPr="00DA59DB" w:rsidRDefault="002768D9">
            <w:pPr>
              <w:rPr>
                <w:rFonts w:ascii="Arial" w:hAnsi="Arial" w:cs="Arial"/>
                <w:sz w:val="24"/>
                <w:szCs w:val="24"/>
              </w:rPr>
            </w:pPr>
          </w:p>
        </w:tc>
      </w:tr>
      <w:tr w:rsidR="002768D9" w:rsidRPr="00DA59DB" w14:paraId="19F68BAD" w14:textId="77777777" w:rsidTr="00E825C0">
        <w:trPr>
          <w:trHeight w:val="107"/>
        </w:trPr>
        <w:tc>
          <w:tcPr>
            <w:tcW w:w="3775" w:type="dxa"/>
          </w:tcPr>
          <w:p w14:paraId="3F1CFFC6" w14:textId="50EC12F2" w:rsidR="002768D9" w:rsidRPr="00DA59DB" w:rsidRDefault="002768D9">
            <w:pPr>
              <w:rPr>
                <w:rFonts w:ascii="Arial" w:hAnsi="Arial" w:cs="Arial"/>
                <w:sz w:val="24"/>
                <w:szCs w:val="24"/>
              </w:rPr>
            </w:pPr>
            <w:r w:rsidRPr="00DA59DB">
              <w:rPr>
                <w:rFonts w:ascii="Arial" w:hAnsi="Arial" w:cs="Arial"/>
                <w:sz w:val="24"/>
                <w:szCs w:val="24"/>
              </w:rPr>
              <w:t>Use of online and ODL</w:t>
            </w:r>
          </w:p>
          <w:p w14:paraId="1EF44E12" w14:textId="25300AD9" w:rsidR="002768D9" w:rsidRPr="00DA59DB" w:rsidRDefault="002768D9">
            <w:pPr>
              <w:rPr>
                <w:rFonts w:ascii="Arial" w:hAnsi="Arial" w:cs="Arial"/>
                <w:sz w:val="24"/>
                <w:szCs w:val="24"/>
              </w:rPr>
            </w:pPr>
          </w:p>
        </w:tc>
        <w:tc>
          <w:tcPr>
            <w:tcW w:w="9900" w:type="dxa"/>
          </w:tcPr>
          <w:p w14:paraId="1D63D531" w14:textId="77777777" w:rsidR="002768D9" w:rsidRPr="00DA59DB" w:rsidRDefault="002768D9">
            <w:pPr>
              <w:rPr>
                <w:rFonts w:ascii="Arial" w:hAnsi="Arial" w:cs="Arial"/>
                <w:sz w:val="24"/>
                <w:szCs w:val="24"/>
              </w:rPr>
            </w:pPr>
          </w:p>
        </w:tc>
      </w:tr>
      <w:tr w:rsidR="0055611A" w:rsidRPr="00DA59DB" w14:paraId="75DF6DC9" w14:textId="77777777" w:rsidTr="00E825C0">
        <w:tc>
          <w:tcPr>
            <w:tcW w:w="3775" w:type="dxa"/>
          </w:tcPr>
          <w:p w14:paraId="5D350824" w14:textId="7CD9E93E" w:rsidR="0055611A" w:rsidRPr="00DA59DB" w:rsidRDefault="0055611A" w:rsidP="00FB410B">
            <w:pPr>
              <w:rPr>
                <w:rFonts w:ascii="Arial" w:hAnsi="Arial" w:cs="Arial"/>
                <w:sz w:val="24"/>
                <w:szCs w:val="24"/>
              </w:rPr>
            </w:pPr>
            <w:r w:rsidRPr="00DA59DB">
              <w:rPr>
                <w:rFonts w:ascii="Arial" w:hAnsi="Arial" w:cs="Arial"/>
                <w:sz w:val="24"/>
                <w:szCs w:val="24"/>
              </w:rPr>
              <w:t>Annual reporting</w:t>
            </w:r>
          </w:p>
          <w:p w14:paraId="4460CAAC" w14:textId="77777777" w:rsidR="0055611A" w:rsidRPr="00DA59DB" w:rsidRDefault="0055611A" w:rsidP="0055611A">
            <w:pPr>
              <w:pStyle w:val="ListParagraph"/>
              <w:numPr>
                <w:ilvl w:val="0"/>
                <w:numId w:val="6"/>
              </w:numPr>
              <w:rPr>
                <w:rFonts w:ascii="Arial" w:hAnsi="Arial" w:cs="Arial"/>
                <w:sz w:val="24"/>
                <w:szCs w:val="24"/>
              </w:rPr>
            </w:pPr>
            <w:r w:rsidRPr="00DA59DB">
              <w:rPr>
                <w:rFonts w:ascii="Arial" w:hAnsi="Arial" w:cs="Arial"/>
                <w:sz w:val="24"/>
                <w:szCs w:val="24"/>
              </w:rPr>
              <w:t>Annual reports</w:t>
            </w:r>
          </w:p>
          <w:p w14:paraId="4ACDA0D4" w14:textId="77777777" w:rsidR="0055611A" w:rsidRPr="00DA59DB" w:rsidRDefault="0055611A" w:rsidP="0055611A">
            <w:pPr>
              <w:pStyle w:val="ListParagraph"/>
              <w:numPr>
                <w:ilvl w:val="0"/>
                <w:numId w:val="6"/>
              </w:numPr>
              <w:rPr>
                <w:rFonts w:ascii="Arial" w:hAnsi="Arial" w:cs="Arial"/>
                <w:sz w:val="24"/>
                <w:szCs w:val="24"/>
              </w:rPr>
            </w:pPr>
            <w:r w:rsidRPr="00DA59DB">
              <w:rPr>
                <w:rFonts w:ascii="Arial" w:hAnsi="Arial" w:cs="Arial"/>
                <w:sz w:val="24"/>
                <w:szCs w:val="24"/>
              </w:rPr>
              <w:t>Audit reports</w:t>
            </w:r>
          </w:p>
          <w:p w14:paraId="1CDBC737" w14:textId="25046CF6" w:rsidR="0055611A" w:rsidRPr="00DA59DB" w:rsidRDefault="0055611A" w:rsidP="0055611A">
            <w:pPr>
              <w:pStyle w:val="ListParagraph"/>
              <w:numPr>
                <w:ilvl w:val="0"/>
                <w:numId w:val="6"/>
              </w:numPr>
              <w:rPr>
                <w:rFonts w:ascii="Arial" w:hAnsi="Arial" w:cs="Arial"/>
                <w:sz w:val="24"/>
                <w:szCs w:val="24"/>
              </w:rPr>
            </w:pPr>
            <w:r w:rsidRPr="00DA59DB">
              <w:rPr>
                <w:rFonts w:ascii="Arial" w:hAnsi="Arial" w:cs="Arial"/>
                <w:sz w:val="24"/>
                <w:szCs w:val="24"/>
              </w:rPr>
              <w:t xml:space="preserve">Inspection by UGC </w:t>
            </w:r>
          </w:p>
        </w:tc>
        <w:tc>
          <w:tcPr>
            <w:tcW w:w="9900" w:type="dxa"/>
          </w:tcPr>
          <w:p w14:paraId="36765D20" w14:textId="77777777" w:rsidR="0055611A" w:rsidRPr="00DA59DB" w:rsidRDefault="0055611A" w:rsidP="00FB410B">
            <w:pPr>
              <w:rPr>
                <w:rFonts w:ascii="Arial" w:hAnsi="Arial" w:cs="Arial"/>
                <w:sz w:val="24"/>
                <w:szCs w:val="24"/>
              </w:rPr>
            </w:pPr>
          </w:p>
        </w:tc>
      </w:tr>
      <w:tr w:rsidR="0055611A" w:rsidRPr="00DA59DB" w14:paraId="18E5EE8F" w14:textId="77777777" w:rsidTr="00E825C0">
        <w:tc>
          <w:tcPr>
            <w:tcW w:w="3775" w:type="dxa"/>
          </w:tcPr>
          <w:p w14:paraId="366E5C8E" w14:textId="03F3A9D1" w:rsidR="0055611A" w:rsidRPr="00DA59DB" w:rsidRDefault="0055611A" w:rsidP="0055611A">
            <w:pPr>
              <w:rPr>
                <w:rFonts w:ascii="Arial" w:hAnsi="Arial" w:cs="Arial"/>
                <w:sz w:val="24"/>
                <w:szCs w:val="24"/>
              </w:rPr>
            </w:pPr>
            <w:r w:rsidRPr="00DA59DB">
              <w:rPr>
                <w:rFonts w:ascii="Arial" w:hAnsi="Arial" w:cs="Arial"/>
                <w:sz w:val="24"/>
                <w:szCs w:val="24"/>
              </w:rPr>
              <w:t>Cross border fund movement and maintenance of Foreign Currency Accounts</w:t>
            </w:r>
          </w:p>
          <w:p w14:paraId="6E1B3671" w14:textId="77777777" w:rsidR="0055611A" w:rsidRPr="00DA59DB" w:rsidRDefault="0055611A" w:rsidP="0055611A">
            <w:pPr>
              <w:pStyle w:val="ListParagraph"/>
              <w:numPr>
                <w:ilvl w:val="0"/>
                <w:numId w:val="7"/>
              </w:numPr>
              <w:rPr>
                <w:rFonts w:ascii="Arial" w:hAnsi="Arial" w:cs="Arial"/>
                <w:sz w:val="24"/>
                <w:szCs w:val="24"/>
              </w:rPr>
            </w:pPr>
            <w:r w:rsidRPr="00DA59DB">
              <w:rPr>
                <w:rFonts w:ascii="Arial" w:hAnsi="Arial" w:cs="Arial"/>
                <w:sz w:val="24"/>
                <w:szCs w:val="24"/>
              </w:rPr>
              <w:t>Repatriation of funds</w:t>
            </w:r>
          </w:p>
          <w:p w14:paraId="5B52E9F5" w14:textId="7F32718F" w:rsidR="0055611A" w:rsidRPr="00DA59DB" w:rsidRDefault="0055611A" w:rsidP="0055611A">
            <w:pPr>
              <w:pStyle w:val="ListParagraph"/>
              <w:numPr>
                <w:ilvl w:val="0"/>
                <w:numId w:val="7"/>
              </w:numPr>
              <w:rPr>
                <w:rFonts w:ascii="Arial" w:hAnsi="Arial" w:cs="Arial"/>
                <w:sz w:val="24"/>
                <w:szCs w:val="24"/>
              </w:rPr>
            </w:pPr>
            <w:r w:rsidRPr="00DA59DB">
              <w:rPr>
                <w:rFonts w:ascii="Arial" w:hAnsi="Arial" w:cs="Arial"/>
                <w:sz w:val="24"/>
                <w:szCs w:val="24"/>
              </w:rPr>
              <w:t>Foreign Exchange Management Act (FEMA) 1999 and its Rules</w:t>
            </w:r>
          </w:p>
        </w:tc>
        <w:tc>
          <w:tcPr>
            <w:tcW w:w="9900" w:type="dxa"/>
          </w:tcPr>
          <w:p w14:paraId="16E63758" w14:textId="77777777" w:rsidR="0055611A" w:rsidRPr="00DA59DB" w:rsidRDefault="0055611A" w:rsidP="00FB410B">
            <w:pPr>
              <w:rPr>
                <w:rFonts w:ascii="Arial" w:hAnsi="Arial" w:cs="Arial"/>
                <w:sz w:val="24"/>
                <w:szCs w:val="24"/>
              </w:rPr>
            </w:pPr>
          </w:p>
        </w:tc>
      </w:tr>
      <w:tr w:rsidR="00F80E37" w:rsidRPr="00DA59DB" w14:paraId="63D31CD7" w14:textId="77777777" w:rsidTr="00E825C0">
        <w:trPr>
          <w:trHeight w:val="107"/>
        </w:trPr>
        <w:tc>
          <w:tcPr>
            <w:tcW w:w="3775" w:type="dxa"/>
          </w:tcPr>
          <w:p w14:paraId="7E3DF57F" w14:textId="77777777" w:rsidR="00F80E37" w:rsidRPr="00DA59DB" w:rsidRDefault="00444FD7">
            <w:pPr>
              <w:rPr>
                <w:rFonts w:ascii="Arial" w:hAnsi="Arial" w:cs="Arial"/>
                <w:sz w:val="24"/>
                <w:szCs w:val="24"/>
              </w:rPr>
            </w:pPr>
            <w:r w:rsidRPr="00DA59DB">
              <w:rPr>
                <w:rFonts w:ascii="Arial" w:hAnsi="Arial" w:cs="Arial"/>
                <w:sz w:val="24"/>
                <w:szCs w:val="24"/>
              </w:rPr>
              <w:t>Safeguarding student’s interest</w:t>
            </w:r>
          </w:p>
          <w:p w14:paraId="76B589A3" w14:textId="77777777" w:rsidR="0055611A" w:rsidRPr="00DA59DB" w:rsidRDefault="0055611A" w:rsidP="0055611A">
            <w:pPr>
              <w:pStyle w:val="ListParagraph"/>
              <w:numPr>
                <w:ilvl w:val="0"/>
                <w:numId w:val="8"/>
              </w:numPr>
              <w:rPr>
                <w:rFonts w:ascii="Arial" w:hAnsi="Arial" w:cs="Arial"/>
                <w:sz w:val="24"/>
                <w:szCs w:val="24"/>
              </w:rPr>
            </w:pPr>
            <w:r w:rsidRPr="00DA59DB">
              <w:rPr>
                <w:rFonts w:ascii="Arial" w:hAnsi="Arial" w:cs="Arial"/>
                <w:sz w:val="24"/>
                <w:szCs w:val="24"/>
              </w:rPr>
              <w:t>Disruption or discontinuation of programme and courses</w:t>
            </w:r>
          </w:p>
          <w:p w14:paraId="42108CB3" w14:textId="5F758E00" w:rsidR="0055611A" w:rsidRPr="00DA59DB" w:rsidRDefault="0055611A" w:rsidP="0055611A">
            <w:pPr>
              <w:pStyle w:val="ListParagraph"/>
              <w:numPr>
                <w:ilvl w:val="0"/>
                <w:numId w:val="8"/>
              </w:numPr>
              <w:rPr>
                <w:rFonts w:ascii="Arial" w:hAnsi="Arial" w:cs="Arial"/>
                <w:sz w:val="24"/>
                <w:szCs w:val="24"/>
              </w:rPr>
            </w:pPr>
            <w:r w:rsidRPr="00DA59DB">
              <w:rPr>
                <w:rFonts w:ascii="Arial" w:hAnsi="Arial" w:cs="Arial"/>
                <w:sz w:val="24"/>
                <w:szCs w:val="24"/>
              </w:rPr>
              <w:t>Student grievances</w:t>
            </w:r>
          </w:p>
        </w:tc>
        <w:tc>
          <w:tcPr>
            <w:tcW w:w="9900" w:type="dxa"/>
          </w:tcPr>
          <w:p w14:paraId="0FF27730" w14:textId="77777777" w:rsidR="00F80E37" w:rsidRPr="00DA59DB" w:rsidRDefault="00F80E37">
            <w:pPr>
              <w:rPr>
                <w:rFonts w:ascii="Arial" w:hAnsi="Arial" w:cs="Arial"/>
                <w:sz w:val="24"/>
                <w:szCs w:val="24"/>
              </w:rPr>
            </w:pPr>
          </w:p>
        </w:tc>
      </w:tr>
      <w:tr w:rsidR="00F80E37" w:rsidRPr="00DA59DB" w14:paraId="0175A6BC" w14:textId="77777777" w:rsidTr="00E825C0">
        <w:tc>
          <w:tcPr>
            <w:tcW w:w="3775" w:type="dxa"/>
          </w:tcPr>
          <w:p w14:paraId="7FABB0A9" w14:textId="78A54099" w:rsidR="00A87454" w:rsidRPr="00DA59DB" w:rsidRDefault="00A87454" w:rsidP="00A87454">
            <w:pPr>
              <w:rPr>
                <w:rFonts w:ascii="Arial" w:hAnsi="Arial" w:cs="Arial"/>
                <w:sz w:val="24"/>
                <w:szCs w:val="24"/>
              </w:rPr>
            </w:pPr>
            <w:r w:rsidRPr="00DA59DB">
              <w:rPr>
                <w:rFonts w:ascii="Arial" w:hAnsi="Arial" w:cs="Arial"/>
                <w:sz w:val="24"/>
                <w:szCs w:val="24"/>
              </w:rPr>
              <w:t>Other conditions</w:t>
            </w:r>
          </w:p>
          <w:p w14:paraId="3FD1F5C0" w14:textId="77777777" w:rsidR="00A87454" w:rsidRPr="00DA59DB" w:rsidRDefault="00A87454" w:rsidP="00A87454">
            <w:pPr>
              <w:pStyle w:val="ListParagraph"/>
              <w:numPr>
                <w:ilvl w:val="0"/>
                <w:numId w:val="8"/>
              </w:numPr>
              <w:rPr>
                <w:rFonts w:ascii="Arial" w:hAnsi="Arial" w:cs="Arial"/>
                <w:sz w:val="24"/>
                <w:szCs w:val="24"/>
              </w:rPr>
            </w:pPr>
            <w:r w:rsidRPr="00DA59DB">
              <w:rPr>
                <w:rFonts w:ascii="Arial" w:hAnsi="Arial" w:cs="Arial"/>
                <w:sz w:val="24"/>
                <w:szCs w:val="24"/>
              </w:rPr>
              <w:t xml:space="preserve">The Foreign Higher Educational Institutions shall not offer any such programme of study which </w:t>
            </w:r>
            <w:r w:rsidRPr="00DA59DB">
              <w:rPr>
                <w:rFonts w:ascii="Arial" w:hAnsi="Arial" w:cs="Arial"/>
                <w:sz w:val="24"/>
                <w:szCs w:val="24"/>
              </w:rPr>
              <w:lastRenderedPageBreak/>
              <w:t xml:space="preserve">jeopardises the national interest of India or the standards of higher education in India. </w:t>
            </w:r>
          </w:p>
          <w:p w14:paraId="7CA6C6C2" w14:textId="77777777" w:rsidR="00A87454" w:rsidRPr="00DA59DB" w:rsidRDefault="00A87454" w:rsidP="00A87454">
            <w:pPr>
              <w:pStyle w:val="ListParagraph"/>
              <w:numPr>
                <w:ilvl w:val="0"/>
                <w:numId w:val="8"/>
              </w:numPr>
              <w:rPr>
                <w:rFonts w:ascii="Arial" w:hAnsi="Arial" w:cs="Arial"/>
                <w:sz w:val="24"/>
                <w:szCs w:val="24"/>
              </w:rPr>
            </w:pPr>
            <w:r w:rsidRPr="00DA59DB">
              <w:rPr>
                <w:rFonts w:ascii="Arial" w:hAnsi="Arial" w:cs="Arial"/>
                <w:sz w:val="24"/>
                <w:szCs w:val="24"/>
              </w:rPr>
              <w:t xml:space="preserve">The operation of Foreign Higher Educational Institutions shall not be contrary to the sovereignty and integrity of India, the security of the State, friendly relations with foreign States, public order, decency, or morality. </w:t>
            </w:r>
          </w:p>
          <w:p w14:paraId="38E319D1" w14:textId="6C93FE50" w:rsidR="00F80E37" w:rsidRPr="00DA59DB" w:rsidRDefault="00A87454" w:rsidP="00A87454">
            <w:pPr>
              <w:pStyle w:val="ListParagraph"/>
              <w:numPr>
                <w:ilvl w:val="0"/>
                <w:numId w:val="8"/>
              </w:numPr>
              <w:rPr>
                <w:rFonts w:ascii="Arial" w:hAnsi="Arial" w:cs="Arial"/>
                <w:sz w:val="24"/>
                <w:szCs w:val="24"/>
              </w:rPr>
            </w:pPr>
            <w:r w:rsidRPr="00DA59DB">
              <w:rPr>
                <w:rFonts w:ascii="Arial" w:hAnsi="Arial" w:cs="Arial"/>
                <w:sz w:val="24"/>
                <w:szCs w:val="24"/>
              </w:rPr>
              <w:t>The Foreign Higher Educational Institutions shall abide by any other condition (s) prescribed by the Commission and the Government of India from time to time.</w:t>
            </w:r>
          </w:p>
        </w:tc>
        <w:tc>
          <w:tcPr>
            <w:tcW w:w="9900" w:type="dxa"/>
          </w:tcPr>
          <w:p w14:paraId="7B623419" w14:textId="77777777" w:rsidR="00F80E37" w:rsidRPr="00DA59DB" w:rsidRDefault="00F80E37">
            <w:pPr>
              <w:rPr>
                <w:rFonts w:ascii="Arial" w:hAnsi="Arial" w:cs="Arial"/>
                <w:sz w:val="24"/>
                <w:szCs w:val="24"/>
              </w:rPr>
            </w:pPr>
          </w:p>
        </w:tc>
      </w:tr>
      <w:tr w:rsidR="00F80E37" w:rsidRPr="00DA59DB" w14:paraId="4C3252BF" w14:textId="77777777" w:rsidTr="00E825C0">
        <w:tc>
          <w:tcPr>
            <w:tcW w:w="3775" w:type="dxa"/>
          </w:tcPr>
          <w:p w14:paraId="4E7FD55E" w14:textId="77777777" w:rsidR="00F80E37" w:rsidRPr="00DA59DB" w:rsidRDefault="00444FD7">
            <w:pPr>
              <w:rPr>
                <w:rFonts w:ascii="Arial" w:hAnsi="Arial" w:cs="Arial"/>
                <w:sz w:val="24"/>
                <w:szCs w:val="24"/>
              </w:rPr>
            </w:pPr>
            <w:r w:rsidRPr="00DA59DB">
              <w:rPr>
                <w:rFonts w:ascii="Arial" w:hAnsi="Arial" w:cs="Arial"/>
                <w:sz w:val="24"/>
                <w:szCs w:val="24"/>
              </w:rPr>
              <w:t>Consequences of violation</w:t>
            </w:r>
          </w:p>
          <w:p w14:paraId="149B76F8" w14:textId="77777777" w:rsidR="00444FD7" w:rsidRPr="00DA59DB" w:rsidRDefault="00444FD7">
            <w:pPr>
              <w:rPr>
                <w:rFonts w:ascii="Arial" w:hAnsi="Arial" w:cs="Arial"/>
                <w:sz w:val="24"/>
                <w:szCs w:val="24"/>
              </w:rPr>
            </w:pPr>
            <w:r w:rsidRPr="00DA59DB">
              <w:rPr>
                <w:rFonts w:ascii="Arial" w:hAnsi="Arial" w:cs="Arial"/>
                <w:sz w:val="24"/>
                <w:szCs w:val="24"/>
              </w:rPr>
              <w:t xml:space="preserve">The Commission shall impose a penalty and/or suspend/withdraw approval at any time in the event of the following: </w:t>
            </w:r>
          </w:p>
          <w:p w14:paraId="6440DEEC" w14:textId="77777777" w:rsidR="00444FD7" w:rsidRPr="00DA59DB" w:rsidRDefault="00444FD7">
            <w:pPr>
              <w:rPr>
                <w:rFonts w:ascii="Arial" w:hAnsi="Arial" w:cs="Arial"/>
                <w:sz w:val="24"/>
                <w:szCs w:val="24"/>
              </w:rPr>
            </w:pPr>
            <w:r w:rsidRPr="00DA59DB">
              <w:rPr>
                <w:rFonts w:ascii="Arial" w:hAnsi="Arial" w:cs="Arial"/>
                <w:sz w:val="24"/>
                <w:szCs w:val="24"/>
              </w:rPr>
              <w:t xml:space="preserve">• The campus of the Foreign Higher Educational Institution has failed to adhere to or has violated these </w:t>
            </w:r>
            <w:proofErr w:type="gramStart"/>
            <w:r w:rsidRPr="00DA59DB">
              <w:rPr>
                <w:rFonts w:ascii="Arial" w:hAnsi="Arial" w:cs="Arial"/>
                <w:sz w:val="24"/>
                <w:szCs w:val="24"/>
              </w:rPr>
              <w:t>Regulations;</w:t>
            </w:r>
            <w:proofErr w:type="gramEnd"/>
            <w:r w:rsidRPr="00DA59DB">
              <w:rPr>
                <w:rFonts w:ascii="Arial" w:hAnsi="Arial" w:cs="Arial"/>
                <w:sz w:val="24"/>
                <w:szCs w:val="24"/>
              </w:rPr>
              <w:t xml:space="preserve"> </w:t>
            </w:r>
          </w:p>
          <w:p w14:paraId="612C3BFF" w14:textId="77777777" w:rsidR="00444FD7" w:rsidRPr="00DA59DB" w:rsidRDefault="00444FD7">
            <w:pPr>
              <w:rPr>
                <w:rFonts w:ascii="Arial" w:hAnsi="Arial" w:cs="Arial"/>
                <w:sz w:val="24"/>
                <w:szCs w:val="24"/>
              </w:rPr>
            </w:pPr>
            <w:r w:rsidRPr="00DA59DB">
              <w:rPr>
                <w:rFonts w:ascii="Arial" w:hAnsi="Arial" w:cs="Arial"/>
                <w:sz w:val="24"/>
                <w:szCs w:val="24"/>
              </w:rPr>
              <w:lastRenderedPageBreak/>
              <w:t xml:space="preserve">• Its activities or academic programmes are against the interest of </w:t>
            </w:r>
            <w:proofErr w:type="gramStart"/>
            <w:r w:rsidRPr="00DA59DB">
              <w:rPr>
                <w:rFonts w:ascii="Arial" w:hAnsi="Arial" w:cs="Arial"/>
                <w:sz w:val="24"/>
                <w:szCs w:val="24"/>
              </w:rPr>
              <w:t>India;</w:t>
            </w:r>
            <w:proofErr w:type="gramEnd"/>
            <w:r w:rsidRPr="00DA59DB">
              <w:rPr>
                <w:rFonts w:ascii="Arial" w:hAnsi="Arial" w:cs="Arial"/>
                <w:sz w:val="24"/>
                <w:szCs w:val="24"/>
              </w:rPr>
              <w:t xml:space="preserve"> </w:t>
            </w:r>
          </w:p>
          <w:p w14:paraId="08FC2101" w14:textId="77777777" w:rsidR="00444FD7" w:rsidRPr="00DA59DB" w:rsidRDefault="00444FD7">
            <w:pPr>
              <w:rPr>
                <w:rFonts w:ascii="Arial" w:hAnsi="Arial" w:cs="Arial"/>
                <w:sz w:val="24"/>
                <w:szCs w:val="24"/>
              </w:rPr>
            </w:pPr>
            <w:r w:rsidRPr="00DA59DB">
              <w:rPr>
                <w:rFonts w:ascii="Arial" w:hAnsi="Arial" w:cs="Arial"/>
                <w:sz w:val="24"/>
                <w:szCs w:val="24"/>
              </w:rPr>
              <w:t xml:space="preserve">• It has failed to abide by the undertaking given at the time of </w:t>
            </w:r>
            <w:proofErr w:type="gramStart"/>
            <w:r w:rsidRPr="00DA59DB">
              <w:rPr>
                <w:rFonts w:ascii="Arial" w:hAnsi="Arial" w:cs="Arial"/>
                <w:sz w:val="24"/>
                <w:szCs w:val="24"/>
              </w:rPr>
              <w:t>application;</w:t>
            </w:r>
            <w:proofErr w:type="gramEnd"/>
          </w:p>
          <w:p w14:paraId="48F8CCC0" w14:textId="77777777" w:rsidR="00444FD7" w:rsidRPr="00DA59DB" w:rsidRDefault="00444FD7">
            <w:pPr>
              <w:rPr>
                <w:rFonts w:ascii="Arial" w:hAnsi="Arial" w:cs="Arial"/>
                <w:sz w:val="24"/>
                <w:szCs w:val="24"/>
              </w:rPr>
            </w:pPr>
            <w:r w:rsidRPr="00DA59DB">
              <w:rPr>
                <w:rFonts w:ascii="Arial" w:hAnsi="Arial" w:cs="Arial"/>
                <w:sz w:val="24"/>
                <w:szCs w:val="24"/>
              </w:rPr>
              <w:t xml:space="preserve">• It engages in operation (s) other than the one (s) permitted under these </w:t>
            </w:r>
            <w:proofErr w:type="gramStart"/>
            <w:r w:rsidRPr="00DA59DB">
              <w:rPr>
                <w:rFonts w:ascii="Arial" w:hAnsi="Arial" w:cs="Arial"/>
                <w:sz w:val="24"/>
                <w:szCs w:val="24"/>
              </w:rPr>
              <w:t>Regulations;</w:t>
            </w:r>
            <w:proofErr w:type="gramEnd"/>
            <w:r w:rsidRPr="00DA59DB">
              <w:rPr>
                <w:rFonts w:ascii="Arial" w:hAnsi="Arial" w:cs="Arial"/>
                <w:sz w:val="24"/>
                <w:szCs w:val="24"/>
              </w:rPr>
              <w:t xml:space="preserve"> </w:t>
            </w:r>
          </w:p>
          <w:p w14:paraId="198A3352" w14:textId="2A383292" w:rsidR="00444FD7" w:rsidRPr="00DA59DB" w:rsidRDefault="00444FD7">
            <w:pPr>
              <w:rPr>
                <w:rFonts w:ascii="Arial" w:hAnsi="Arial" w:cs="Arial"/>
                <w:sz w:val="24"/>
                <w:szCs w:val="24"/>
              </w:rPr>
            </w:pPr>
            <w:r w:rsidRPr="00DA59DB">
              <w:rPr>
                <w:rFonts w:ascii="Arial" w:hAnsi="Arial" w:cs="Arial"/>
                <w:sz w:val="24"/>
                <w:szCs w:val="24"/>
              </w:rPr>
              <w:t>• In case of any adverse finding, misappropriation and suppression of facts</w:t>
            </w:r>
          </w:p>
        </w:tc>
        <w:tc>
          <w:tcPr>
            <w:tcW w:w="9900" w:type="dxa"/>
          </w:tcPr>
          <w:p w14:paraId="65DF8D08" w14:textId="77777777" w:rsidR="00F80E37" w:rsidRPr="00DA59DB" w:rsidRDefault="00F80E37">
            <w:pPr>
              <w:rPr>
                <w:rFonts w:ascii="Arial" w:hAnsi="Arial" w:cs="Arial"/>
                <w:sz w:val="24"/>
                <w:szCs w:val="24"/>
              </w:rPr>
            </w:pPr>
          </w:p>
        </w:tc>
      </w:tr>
      <w:tr w:rsidR="00F80E37" w:rsidRPr="00DA59DB" w14:paraId="3D6E6075" w14:textId="77777777" w:rsidTr="00E825C0">
        <w:tc>
          <w:tcPr>
            <w:tcW w:w="3775" w:type="dxa"/>
          </w:tcPr>
          <w:p w14:paraId="4C612025" w14:textId="77777777" w:rsidR="00F80E37" w:rsidRPr="00DA59DB" w:rsidRDefault="002F247C">
            <w:pPr>
              <w:rPr>
                <w:rFonts w:ascii="Arial" w:hAnsi="Arial" w:cs="Arial"/>
                <w:sz w:val="24"/>
                <w:szCs w:val="24"/>
              </w:rPr>
            </w:pPr>
            <w:r w:rsidRPr="00DA59DB">
              <w:rPr>
                <w:rFonts w:ascii="Arial" w:hAnsi="Arial" w:cs="Arial"/>
                <w:sz w:val="24"/>
                <w:szCs w:val="24"/>
              </w:rPr>
              <w:t>Any other comments</w:t>
            </w:r>
          </w:p>
          <w:p w14:paraId="419D3BA9" w14:textId="76D45F83" w:rsidR="00E825C0" w:rsidRPr="00DA59DB" w:rsidRDefault="00E825C0">
            <w:pPr>
              <w:rPr>
                <w:rFonts w:ascii="Arial" w:hAnsi="Arial" w:cs="Arial"/>
                <w:sz w:val="24"/>
                <w:szCs w:val="24"/>
              </w:rPr>
            </w:pPr>
          </w:p>
        </w:tc>
        <w:tc>
          <w:tcPr>
            <w:tcW w:w="9900" w:type="dxa"/>
          </w:tcPr>
          <w:p w14:paraId="480686CE" w14:textId="77777777" w:rsidR="00F80E37" w:rsidRPr="00DA59DB" w:rsidRDefault="00F80E37">
            <w:pPr>
              <w:rPr>
                <w:rFonts w:ascii="Arial" w:hAnsi="Arial" w:cs="Arial"/>
                <w:sz w:val="24"/>
                <w:szCs w:val="24"/>
              </w:rPr>
            </w:pPr>
          </w:p>
        </w:tc>
      </w:tr>
      <w:tr w:rsidR="00F80E37" w:rsidRPr="00DA59DB" w14:paraId="74656426" w14:textId="77777777" w:rsidTr="00E825C0">
        <w:tc>
          <w:tcPr>
            <w:tcW w:w="3775" w:type="dxa"/>
          </w:tcPr>
          <w:p w14:paraId="4E773741" w14:textId="77777777" w:rsidR="00F80E37" w:rsidRPr="00DA59DB" w:rsidRDefault="00F80E37">
            <w:pPr>
              <w:rPr>
                <w:rFonts w:ascii="Arial" w:hAnsi="Arial" w:cs="Arial"/>
                <w:sz w:val="24"/>
                <w:szCs w:val="24"/>
              </w:rPr>
            </w:pPr>
          </w:p>
        </w:tc>
        <w:tc>
          <w:tcPr>
            <w:tcW w:w="9900" w:type="dxa"/>
          </w:tcPr>
          <w:p w14:paraId="4E8F8EC8" w14:textId="77777777" w:rsidR="00F80E37" w:rsidRPr="00DA59DB" w:rsidRDefault="00F80E37">
            <w:pPr>
              <w:rPr>
                <w:rFonts w:ascii="Arial" w:hAnsi="Arial" w:cs="Arial"/>
                <w:sz w:val="24"/>
                <w:szCs w:val="24"/>
              </w:rPr>
            </w:pPr>
          </w:p>
        </w:tc>
      </w:tr>
    </w:tbl>
    <w:p w14:paraId="2C5FB984" w14:textId="77777777" w:rsidR="00F80E37" w:rsidRDefault="00F80E37"/>
    <w:sectPr w:rsidR="00F80E37" w:rsidSect="00E825C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D3F1" w14:textId="77777777" w:rsidR="00E825C0" w:rsidRDefault="00E825C0" w:rsidP="00E825C0">
      <w:pPr>
        <w:spacing w:after="0" w:line="240" w:lineRule="auto"/>
      </w:pPr>
      <w:r>
        <w:separator/>
      </w:r>
    </w:p>
  </w:endnote>
  <w:endnote w:type="continuationSeparator" w:id="0">
    <w:p w14:paraId="2217F033" w14:textId="77777777" w:rsidR="00E825C0" w:rsidRDefault="00E825C0" w:rsidP="00E8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E782" w14:textId="77777777" w:rsidR="00E825C0" w:rsidRDefault="00E825C0" w:rsidP="00E825C0">
      <w:pPr>
        <w:spacing w:after="0" w:line="240" w:lineRule="auto"/>
      </w:pPr>
      <w:r>
        <w:separator/>
      </w:r>
    </w:p>
  </w:footnote>
  <w:footnote w:type="continuationSeparator" w:id="0">
    <w:p w14:paraId="0A11A501" w14:textId="77777777" w:rsidR="00E825C0" w:rsidRDefault="00E825C0" w:rsidP="00E8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441E"/>
    <w:multiLevelType w:val="hybridMultilevel"/>
    <w:tmpl w:val="F476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C294D"/>
    <w:multiLevelType w:val="hybridMultilevel"/>
    <w:tmpl w:val="597A0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94597"/>
    <w:multiLevelType w:val="hybridMultilevel"/>
    <w:tmpl w:val="D60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767C8"/>
    <w:multiLevelType w:val="hybridMultilevel"/>
    <w:tmpl w:val="7CC8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122FA"/>
    <w:multiLevelType w:val="hybridMultilevel"/>
    <w:tmpl w:val="25AC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D5DE3"/>
    <w:multiLevelType w:val="hybridMultilevel"/>
    <w:tmpl w:val="0EE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15A6D"/>
    <w:multiLevelType w:val="hybridMultilevel"/>
    <w:tmpl w:val="B244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39759D"/>
    <w:multiLevelType w:val="hybridMultilevel"/>
    <w:tmpl w:val="9384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37"/>
    <w:rsid w:val="002768D9"/>
    <w:rsid w:val="002F247C"/>
    <w:rsid w:val="00444FD7"/>
    <w:rsid w:val="0055611A"/>
    <w:rsid w:val="006F79F3"/>
    <w:rsid w:val="00A87454"/>
    <w:rsid w:val="00DA59DB"/>
    <w:rsid w:val="00E825C0"/>
    <w:rsid w:val="00ED3BA8"/>
    <w:rsid w:val="00F80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EA034"/>
  <w15:chartTrackingRefBased/>
  <w15:docId w15:val="{E75E5433-E385-4742-AB81-CDB43006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7ACC7-00D2-406C-974F-AD4F71F7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Sahay, Sandeepa (Education &amp; Society)</dc:creator>
  <cp:keywords/>
  <dc:description/>
  <cp:lastModifiedBy>Lee, Christine (Education and Society)</cp:lastModifiedBy>
  <cp:revision>2</cp:revision>
  <dcterms:created xsi:type="dcterms:W3CDTF">2023-01-12T11:07:00Z</dcterms:created>
  <dcterms:modified xsi:type="dcterms:W3CDTF">2023-01-12T11:07:00Z</dcterms:modified>
</cp:coreProperties>
</file>