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CE815" w14:textId="77777777" w:rsidR="0095681E" w:rsidRPr="0095681E" w:rsidRDefault="0095681E" w:rsidP="0095681E">
      <w:pPr>
        <w:keepNext/>
        <w:keepLines/>
        <w:pageBreakBefore/>
        <w:spacing w:after="240" w:line="240" w:lineRule="auto"/>
        <w:rPr>
          <w:rFonts w:ascii="Arial Bold" w:eastAsia="Arial" w:hAnsi="Arial Bold" w:cs="Arial"/>
          <w:b/>
          <w:caps/>
          <w:color w:val="D81EA3"/>
          <w:sz w:val="32"/>
          <w:szCs w:val="22"/>
          <w:lang w:eastAsia="en-GB"/>
        </w:rPr>
      </w:pPr>
      <w:r w:rsidRPr="0095681E">
        <w:rPr>
          <w:rFonts w:ascii="Arial Bold" w:eastAsia="Arial" w:hAnsi="Arial Bold" w:cs="Arial"/>
          <w:b/>
          <w:caps/>
          <w:color w:val="D81EA3"/>
          <w:sz w:val="32"/>
          <w:szCs w:val="22"/>
          <w:lang w:eastAsia="en-GB"/>
        </w:rPr>
        <w:t>Appendix 1: Eligibility criteria checklist</w:t>
      </w:r>
    </w:p>
    <w:tbl>
      <w:tblPr>
        <w:tblW w:w="10170"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0"/>
        <w:gridCol w:w="1260"/>
      </w:tblGrid>
      <w:tr w:rsidR="0095681E" w:rsidRPr="000853F4" w14:paraId="4A5F2E3E" w14:textId="77777777" w:rsidTr="0095681E">
        <w:tc>
          <w:tcPr>
            <w:tcW w:w="8910" w:type="dxa"/>
            <w:shd w:val="clear" w:color="auto" w:fill="D81EA3"/>
          </w:tcPr>
          <w:p w14:paraId="54705BEC" w14:textId="77777777" w:rsidR="0095681E" w:rsidRPr="00F45DE8" w:rsidRDefault="0095681E" w:rsidP="00F911C9">
            <w:pPr>
              <w:rPr>
                <w:bCs/>
                <w:color w:val="FFFFFF" w:themeColor="background1"/>
                <w:lang w:val="en-US"/>
              </w:rPr>
            </w:pPr>
            <w:r w:rsidRPr="00F45DE8">
              <w:rPr>
                <w:b/>
                <w:bCs/>
                <w:color w:val="FFFFFF" w:themeColor="background1"/>
                <w:lang w:val="en-US"/>
              </w:rPr>
              <w:t>ELIGIBILITY CHECK LIST</w:t>
            </w:r>
          </w:p>
        </w:tc>
        <w:tc>
          <w:tcPr>
            <w:tcW w:w="1260" w:type="dxa"/>
            <w:shd w:val="clear" w:color="auto" w:fill="D81EA3"/>
          </w:tcPr>
          <w:p w14:paraId="758354F5" w14:textId="77777777" w:rsidR="0095681E" w:rsidRPr="00F45DE8" w:rsidRDefault="0095681E" w:rsidP="00F911C9">
            <w:pPr>
              <w:rPr>
                <w:b/>
                <w:bCs/>
                <w:color w:val="FFFFFF" w:themeColor="background1"/>
                <w:lang w:val="en-US"/>
              </w:rPr>
            </w:pPr>
            <w:r w:rsidRPr="00F45DE8">
              <w:rPr>
                <w:b/>
                <w:bCs/>
                <w:color w:val="FFFFFF" w:themeColor="background1"/>
                <w:lang w:val="en-US"/>
              </w:rPr>
              <w:t>Y / N</w:t>
            </w:r>
          </w:p>
        </w:tc>
      </w:tr>
      <w:tr w:rsidR="0095681E" w:rsidRPr="000853F4" w14:paraId="1AF46C57" w14:textId="77777777" w:rsidTr="0095681E">
        <w:tblPrEx>
          <w:tblCellMar>
            <w:top w:w="9" w:type="dxa"/>
            <w:left w:w="5" w:type="dxa"/>
            <w:right w:w="10" w:type="dxa"/>
          </w:tblCellMar>
        </w:tblPrEx>
        <w:trPr>
          <w:trHeight w:val="699"/>
        </w:trPr>
        <w:tc>
          <w:tcPr>
            <w:tcW w:w="8910" w:type="dxa"/>
            <w:shd w:val="clear" w:color="auto" w:fill="auto"/>
            <w:vAlign w:val="center"/>
          </w:tcPr>
          <w:p w14:paraId="407DE873" w14:textId="77777777" w:rsidR="0095681E" w:rsidRPr="0095681E" w:rsidRDefault="0095681E" w:rsidP="00F911C9">
            <w:pPr>
              <w:rPr>
                <w:sz w:val="23"/>
                <w:szCs w:val="23"/>
              </w:rPr>
            </w:pPr>
            <w:r w:rsidRPr="0095681E">
              <w:rPr>
                <w:sz w:val="23"/>
                <w:szCs w:val="23"/>
              </w:rPr>
              <w:t xml:space="preserve">The application has been submitted by the applicant by the published deadline. </w:t>
            </w:r>
          </w:p>
        </w:tc>
        <w:tc>
          <w:tcPr>
            <w:tcW w:w="1260" w:type="dxa"/>
            <w:shd w:val="clear" w:color="auto" w:fill="auto"/>
          </w:tcPr>
          <w:p w14:paraId="394B5B25" w14:textId="77777777" w:rsidR="0095681E" w:rsidRPr="000853F4" w:rsidRDefault="0095681E" w:rsidP="00F911C9">
            <w:r w:rsidRPr="000853F4">
              <w:t xml:space="preserve"> </w:t>
            </w:r>
          </w:p>
        </w:tc>
      </w:tr>
      <w:tr w:rsidR="0095681E" w:rsidRPr="000853F4" w14:paraId="318A8B84" w14:textId="77777777" w:rsidTr="0095681E">
        <w:tblPrEx>
          <w:tblCellMar>
            <w:top w:w="9" w:type="dxa"/>
            <w:left w:w="5" w:type="dxa"/>
            <w:right w:w="10" w:type="dxa"/>
          </w:tblCellMar>
        </w:tblPrEx>
        <w:trPr>
          <w:trHeight w:val="823"/>
        </w:trPr>
        <w:tc>
          <w:tcPr>
            <w:tcW w:w="8910" w:type="dxa"/>
            <w:shd w:val="clear" w:color="auto" w:fill="auto"/>
            <w:vAlign w:val="center"/>
          </w:tcPr>
          <w:p w14:paraId="2DED0D8A" w14:textId="77777777" w:rsidR="0095681E" w:rsidRPr="0095681E" w:rsidRDefault="0095681E" w:rsidP="00F911C9">
            <w:pPr>
              <w:rPr>
                <w:sz w:val="23"/>
                <w:szCs w:val="23"/>
              </w:rPr>
            </w:pPr>
            <w:r w:rsidRPr="0095681E">
              <w:rPr>
                <w:sz w:val="23"/>
                <w:szCs w:val="23"/>
              </w:rPr>
              <w:t>The application is completed in full.</w:t>
            </w:r>
          </w:p>
        </w:tc>
        <w:tc>
          <w:tcPr>
            <w:tcW w:w="1260" w:type="dxa"/>
            <w:shd w:val="clear" w:color="auto" w:fill="auto"/>
          </w:tcPr>
          <w:p w14:paraId="7A2D28FE" w14:textId="77777777" w:rsidR="0095681E" w:rsidRPr="000853F4" w:rsidRDefault="0095681E" w:rsidP="00F911C9"/>
        </w:tc>
      </w:tr>
      <w:tr w:rsidR="0095681E" w:rsidRPr="000853F4" w14:paraId="1B8A26B0" w14:textId="77777777" w:rsidTr="0095681E">
        <w:tblPrEx>
          <w:tblCellMar>
            <w:top w:w="9" w:type="dxa"/>
            <w:left w:w="5" w:type="dxa"/>
            <w:right w:w="10" w:type="dxa"/>
          </w:tblCellMar>
        </w:tblPrEx>
        <w:trPr>
          <w:trHeight w:val="965"/>
        </w:trPr>
        <w:tc>
          <w:tcPr>
            <w:tcW w:w="8910" w:type="dxa"/>
            <w:shd w:val="clear" w:color="auto" w:fill="auto"/>
            <w:vAlign w:val="center"/>
          </w:tcPr>
          <w:p w14:paraId="2B170884" w14:textId="77777777" w:rsidR="0095681E" w:rsidRPr="0095681E" w:rsidRDefault="0095681E" w:rsidP="00F911C9">
            <w:pPr>
              <w:rPr>
                <w:sz w:val="23"/>
                <w:szCs w:val="23"/>
              </w:rPr>
            </w:pPr>
            <w:r w:rsidRPr="0095681E">
              <w:rPr>
                <w:sz w:val="23"/>
                <w:szCs w:val="23"/>
              </w:rPr>
              <w:t>The application form and supporting documents have been completed in English.</w:t>
            </w:r>
          </w:p>
        </w:tc>
        <w:tc>
          <w:tcPr>
            <w:tcW w:w="1260" w:type="dxa"/>
            <w:shd w:val="clear" w:color="auto" w:fill="auto"/>
          </w:tcPr>
          <w:p w14:paraId="2DAE8752" w14:textId="77777777" w:rsidR="0095681E" w:rsidRPr="000853F4" w:rsidRDefault="0095681E" w:rsidP="00F911C9"/>
        </w:tc>
      </w:tr>
      <w:tr w:rsidR="0095681E" w:rsidRPr="000853F4" w14:paraId="32EDFA07" w14:textId="77777777" w:rsidTr="0095681E">
        <w:tblPrEx>
          <w:tblCellMar>
            <w:top w:w="9" w:type="dxa"/>
            <w:left w:w="5" w:type="dxa"/>
            <w:right w:w="10" w:type="dxa"/>
          </w:tblCellMar>
        </w:tblPrEx>
        <w:trPr>
          <w:trHeight w:val="965"/>
        </w:trPr>
        <w:tc>
          <w:tcPr>
            <w:tcW w:w="8910" w:type="dxa"/>
            <w:shd w:val="clear" w:color="auto" w:fill="auto"/>
            <w:vAlign w:val="center"/>
          </w:tcPr>
          <w:p w14:paraId="1DFAF5DF" w14:textId="77777777" w:rsidR="0095681E" w:rsidRPr="0095681E" w:rsidRDefault="0095681E" w:rsidP="00F911C9">
            <w:pPr>
              <w:rPr>
                <w:sz w:val="23"/>
                <w:szCs w:val="23"/>
              </w:rPr>
            </w:pPr>
            <w:r w:rsidRPr="0095681E">
              <w:rPr>
                <w:sz w:val="23"/>
                <w:szCs w:val="23"/>
              </w:rPr>
              <w:t>The lead applicants submitted only one UK – Egypt Trans-National Education (TNE) Grant application per this call.</w:t>
            </w:r>
          </w:p>
          <w:p w14:paraId="3FB72DE0" w14:textId="77777777" w:rsidR="0095681E" w:rsidRPr="0095681E" w:rsidRDefault="0095681E" w:rsidP="00F911C9">
            <w:pPr>
              <w:rPr>
                <w:sz w:val="23"/>
                <w:szCs w:val="23"/>
              </w:rPr>
            </w:pPr>
          </w:p>
        </w:tc>
        <w:tc>
          <w:tcPr>
            <w:tcW w:w="1260" w:type="dxa"/>
            <w:shd w:val="clear" w:color="auto" w:fill="auto"/>
          </w:tcPr>
          <w:p w14:paraId="7167B740" w14:textId="77777777" w:rsidR="0095681E" w:rsidRPr="000853F4" w:rsidRDefault="0095681E" w:rsidP="00F911C9"/>
        </w:tc>
      </w:tr>
      <w:tr w:rsidR="0095681E" w:rsidRPr="000853F4" w14:paraId="264EA634" w14:textId="77777777" w:rsidTr="0095681E">
        <w:tblPrEx>
          <w:tblCellMar>
            <w:top w:w="9" w:type="dxa"/>
            <w:left w:w="5" w:type="dxa"/>
            <w:right w:w="10" w:type="dxa"/>
          </w:tblCellMar>
        </w:tblPrEx>
        <w:trPr>
          <w:trHeight w:val="1676"/>
        </w:trPr>
        <w:tc>
          <w:tcPr>
            <w:tcW w:w="8910" w:type="dxa"/>
            <w:shd w:val="clear" w:color="auto" w:fill="auto"/>
            <w:vAlign w:val="center"/>
          </w:tcPr>
          <w:p w14:paraId="6E9DA80C" w14:textId="77777777" w:rsidR="0095681E" w:rsidRPr="0095681E" w:rsidRDefault="0095681E" w:rsidP="00F911C9">
            <w:pPr>
              <w:rPr>
                <w:sz w:val="23"/>
                <w:szCs w:val="23"/>
              </w:rPr>
            </w:pPr>
            <w:r w:rsidRPr="0095681E">
              <w:rPr>
                <w:sz w:val="23"/>
                <w:szCs w:val="23"/>
              </w:rPr>
              <w:t xml:space="preserve">    Principal applicants are based at: </w:t>
            </w:r>
          </w:p>
          <w:p w14:paraId="3144B578" w14:textId="77777777" w:rsidR="0095681E" w:rsidRPr="0095681E" w:rsidRDefault="0095681E" w:rsidP="0095681E">
            <w:pPr>
              <w:numPr>
                <w:ilvl w:val="0"/>
                <w:numId w:val="1"/>
              </w:numPr>
              <w:rPr>
                <w:sz w:val="23"/>
                <w:szCs w:val="23"/>
              </w:rPr>
            </w:pPr>
            <w:r w:rsidRPr="0095681E">
              <w:rPr>
                <w:sz w:val="23"/>
                <w:szCs w:val="23"/>
              </w:rPr>
              <w:t xml:space="preserve">Higher Education provider with </w:t>
            </w:r>
            <w:hyperlink r:id="rId7" w:history="1">
              <w:r w:rsidRPr="0095681E">
                <w:rPr>
                  <w:rStyle w:val="Hyperlink"/>
                  <w:color w:val="D81EA3"/>
                  <w:sz w:val="23"/>
                  <w:szCs w:val="23"/>
                </w:rPr>
                <w:t>degree awarding powers</w:t>
              </w:r>
            </w:hyperlink>
            <w:r w:rsidRPr="0095681E">
              <w:rPr>
                <w:color w:val="D81EA3"/>
                <w:sz w:val="23"/>
                <w:szCs w:val="23"/>
              </w:rPr>
              <w:t xml:space="preserve">.  </w:t>
            </w:r>
            <w:r w:rsidRPr="0095681E">
              <w:rPr>
                <w:sz w:val="23"/>
                <w:szCs w:val="23"/>
              </w:rPr>
              <w:t xml:space="preserve">Check the ‘awarding degrees’ drop down section on the specific provider’s entry on the </w:t>
            </w:r>
            <w:hyperlink r:id="rId8" w:anchor="/" w:history="1">
              <w:r w:rsidRPr="0095681E">
                <w:rPr>
                  <w:rStyle w:val="Hyperlink"/>
                  <w:color w:val="D81EA3"/>
                  <w:sz w:val="23"/>
                  <w:szCs w:val="23"/>
                </w:rPr>
                <w:t>OFS register</w:t>
              </w:r>
            </w:hyperlink>
            <w:r w:rsidRPr="0095681E">
              <w:rPr>
                <w:color w:val="D81EA3"/>
                <w:sz w:val="23"/>
                <w:szCs w:val="23"/>
                <w:u w:val="single"/>
              </w:rPr>
              <w:t xml:space="preserve">. </w:t>
            </w:r>
            <w:r w:rsidRPr="0095681E">
              <w:rPr>
                <w:color w:val="D81EA3"/>
                <w:sz w:val="23"/>
                <w:szCs w:val="23"/>
              </w:rPr>
              <w:t xml:space="preserve"> </w:t>
            </w:r>
            <w:r w:rsidRPr="0095681E">
              <w:rPr>
                <w:sz w:val="23"/>
                <w:szCs w:val="23"/>
              </w:rPr>
              <w:t xml:space="preserve">The OFS register lists all institutions which offer UK degrees, not all of which have degree awarding powers. </w:t>
            </w:r>
          </w:p>
          <w:p w14:paraId="33F27FA8" w14:textId="77777777" w:rsidR="0095681E" w:rsidRPr="0095681E" w:rsidRDefault="0095681E" w:rsidP="0095681E">
            <w:pPr>
              <w:numPr>
                <w:ilvl w:val="0"/>
                <w:numId w:val="1"/>
              </w:numPr>
              <w:rPr>
                <w:sz w:val="23"/>
                <w:szCs w:val="23"/>
              </w:rPr>
            </w:pPr>
            <w:r w:rsidRPr="0095681E">
              <w:rPr>
                <w:sz w:val="23"/>
                <w:szCs w:val="23"/>
              </w:rPr>
              <w:t xml:space="preserve">Not-for-profit research institutions, establishment, and organisations.  See </w:t>
            </w:r>
            <w:r w:rsidRPr="0095681E">
              <w:rPr>
                <w:b/>
                <w:bCs/>
                <w:sz w:val="23"/>
                <w:szCs w:val="23"/>
              </w:rPr>
              <w:t>Appendix 3</w:t>
            </w:r>
            <w:r w:rsidRPr="0095681E">
              <w:rPr>
                <w:sz w:val="23"/>
                <w:szCs w:val="23"/>
              </w:rPr>
              <w:t xml:space="preserve"> for a complete list of these).</w:t>
            </w:r>
          </w:p>
          <w:p w14:paraId="7918194F" w14:textId="77777777" w:rsidR="0095681E" w:rsidRPr="0095681E" w:rsidRDefault="0095681E" w:rsidP="00F911C9">
            <w:pPr>
              <w:rPr>
                <w:sz w:val="23"/>
                <w:szCs w:val="23"/>
              </w:rPr>
            </w:pPr>
            <w:r w:rsidRPr="0095681E">
              <w:rPr>
                <w:sz w:val="23"/>
                <w:szCs w:val="23"/>
              </w:rPr>
              <w:t xml:space="preserve">For the UK, if the lead institution is not a higher and/or further education     institution, the list of eligible UK research organisations is available as </w:t>
            </w:r>
            <w:r w:rsidRPr="0095681E">
              <w:rPr>
                <w:b/>
                <w:bCs/>
                <w:sz w:val="23"/>
                <w:szCs w:val="23"/>
              </w:rPr>
              <w:t>Appendix 3</w:t>
            </w:r>
            <w:r w:rsidRPr="0095681E">
              <w:rPr>
                <w:sz w:val="23"/>
                <w:szCs w:val="23"/>
              </w:rPr>
              <w:t>.     If unsure, please contact:  </w:t>
            </w:r>
            <w:hyperlink r:id="rId9">
              <w:r w:rsidRPr="0095681E">
                <w:rPr>
                  <w:rStyle w:val="Hyperlink"/>
                  <w:color w:val="D81EA3"/>
                  <w:sz w:val="23"/>
                  <w:szCs w:val="23"/>
                </w:rPr>
                <w:t>goingglobalpartnerships@britishcouncil.org</w:t>
              </w:r>
            </w:hyperlink>
            <w:r w:rsidRPr="0095681E">
              <w:rPr>
                <w:color w:val="D81EA3"/>
                <w:sz w:val="23"/>
                <w:szCs w:val="23"/>
              </w:rPr>
              <w:t xml:space="preserve"> </w:t>
            </w:r>
          </w:p>
        </w:tc>
        <w:tc>
          <w:tcPr>
            <w:tcW w:w="1260" w:type="dxa"/>
            <w:shd w:val="clear" w:color="auto" w:fill="auto"/>
          </w:tcPr>
          <w:p w14:paraId="2C8FDE44" w14:textId="77777777" w:rsidR="0095681E" w:rsidRPr="000853F4" w:rsidRDefault="0095681E" w:rsidP="00F911C9"/>
        </w:tc>
      </w:tr>
      <w:tr w:rsidR="0095681E" w:rsidRPr="000853F4" w14:paraId="4F110A55" w14:textId="77777777" w:rsidTr="0095681E">
        <w:tblPrEx>
          <w:tblCellMar>
            <w:top w:w="9" w:type="dxa"/>
            <w:left w:w="5" w:type="dxa"/>
            <w:right w:w="10" w:type="dxa"/>
          </w:tblCellMar>
        </w:tblPrEx>
        <w:trPr>
          <w:trHeight w:val="965"/>
        </w:trPr>
        <w:tc>
          <w:tcPr>
            <w:tcW w:w="8910" w:type="dxa"/>
            <w:shd w:val="clear" w:color="auto" w:fill="auto"/>
            <w:vAlign w:val="center"/>
          </w:tcPr>
          <w:p w14:paraId="324AE804" w14:textId="77777777" w:rsidR="0095681E" w:rsidRPr="0095681E" w:rsidRDefault="0095681E" w:rsidP="00F911C9">
            <w:pPr>
              <w:rPr>
                <w:sz w:val="23"/>
                <w:szCs w:val="23"/>
              </w:rPr>
            </w:pPr>
            <w:r w:rsidRPr="0095681E">
              <w:rPr>
                <w:sz w:val="23"/>
                <w:szCs w:val="23"/>
              </w:rPr>
              <w:t>The applicants have included 2 supporting letters, one from each of the 2 Lead Institutions, on headed paper, signed by the Head of Department or other person with appropriate delegated authority, giving specific commitment to the project.  Supporting letters must be in English, and not be signed by Principal Applicants.  As stated in these guidelines, email versions of letters are acceptable.</w:t>
            </w:r>
          </w:p>
        </w:tc>
        <w:tc>
          <w:tcPr>
            <w:tcW w:w="1260" w:type="dxa"/>
            <w:shd w:val="clear" w:color="auto" w:fill="auto"/>
          </w:tcPr>
          <w:p w14:paraId="7EB3B418" w14:textId="77777777" w:rsidR="0095681E" w:rsidRPr="000853F4" w:rsidRDefault="0095681E" w:rsidP="00F911C9">
            <w:r w:rsidRPr="000853F4">
              <w:t xml:space="preserve"> </w:t>
            </w:r>
          </w:p>
        </w:tc>
      </w:tr>
      <w:tr w:rsidR="0095681E" w:rsidRPr="000853F4" w14:paraId="58877449" w14:textId="77777777" w:rsidTr="0095681E">
        <w:tblPrEx>
          <w:tblCellMar>
            <w:top w:w="9" w:type="dxa"/>
            <w:left w:w="5" w:type="dxa"/>
            <w:right w:w="10" w:type="dxa"/>
          </w:tblCellMar>
        </w:tblPrEx>
        <w:trPr>
          <w:trHeight w:val="965"/>
        </w:trPr>
        <w:tc>
          <w:tcPr>
            <w:tcW w:w="8910" w:type="dxa"/>
            <w:shd w:val="clear" w:color="auto" w:fill="auto"/>
            <w:vAlign w:val="center"/>
          </w:tcPr>
          <w:p w14:paraId="5BC64468" w14:textId="77777777" w:rsidR="0095681E" w:rsidRPr="0095681E" w:rsidRDefault="0095681E" w:rsidP="00F911C9">
            <w:pPr>
              <w:rPr>
                <w:sz w:val="23"/>
                <w:szCs w:val="23"/>
              </w:rPr>
            </w:pPr>
            <w:r w:rsidRPr="0095681E">
              <w:rPr>
                <w:sz w:val="23"/>
                <w:szCs w:val="23"/>
              </w:rPr>
              <w:t>The proposed activities are relevant to Egypt priorities * 20 – 30 vision and objectives of the call</w:t>
            </w:r>
          </w:p>
        </w:tc>
        <w:tc>
          <w:tcPr>
            <w:tcW w:w="1260" w:type="dxa"/>
            <w:shd w:val="clear" w:color="auto" w:fill="auto"/>
          </w:tcPr>
          <w:p w14:paraId="603B2857" w14:textId="77777777" w:rsidR="0095681E" w:rsidRPr="000853F4" w:rsidRDefault="0095681E" w:rsidP="00F911C9"/>
        </w:tc>
      </w:tr>
      <w:tr w:rsidR="0095681E" w:rsidRPr="000853F4" w14:paraId="1E40FC82" w14:textId="77777777" w:rsidTr="0095681E">
        <w:tblPrEx>
          <w:tblCellMar>
            <w:top w:w="9" w:type="dxa"/>
            <w:left w:w="5" w:type="dxa"/>
            <w:right w:w="10" w:type="dxa"/>
          </w:tblCellMar>
        </w:tblPrEx>
        <w:trPr>
          <w:trHeight w:val="965"/>
        </w:trPr>
        <w:tc>
          <w:tcPr>
            <w:tcW w:w="8910" w:type="dxa"/>
            <w:shd w:val="clear" w:color="auto" w:fill="auto"/>
            <w:vAlign w:val="center"/>
          </w:tcPr>
          <w:p w14:paraId="5F84F6D3" w14:textId="77777777" w:rsidR="0095681E" w:rsidRPr="0095681E" w:rsidRDefault="0095681E" w:rsidP="00F911C9">
            <w:pPr>
              <w:rPr>
                <w:sz w:val="23"/>
                <w:szCs w:val="23"/>
              </w:rPr>
            </w:pPr>
          </w:p>
          <w:p w14:paraId="0AFDE27C" w14:textId="77777777" w:rsidR="0095681E" w:rsidRPr="0095681E" w:rsidRDefault="0095681E" w:rsidP="00F911C9">
            <w:pPr>
              <w:rPr>
                <w:sz w:val="23"/>
                <w:szCs w:val="23"/>
              </w:rPr>
            </w:pPr>
            <w:r w:rsidRPr="0095681E">
              <w:rPr>
                <w:sz w:val="23"/>
                <w:szCs w:val="23"/>
              </w:rPr>
              <w:t xml:space="preserve">Lead Applicants must have the capacity to administer a grant and satisfy British Council requirements to prevent bribery, </w:t>
            </w:r>
            <w:proofErr w:type="gramStart"/>
            <w:r w:rsidRPr="0095681E">
              <w:rPr>
                <w:sz w:val="23"/>
                <w:szCs w:val="23"/>
              </w:rPr>
              <w:t>fraud</w:t>
            </w:r>
            <w:proofErr w:type="gramEnd"/>
            <w:r w:rsidRPr="0095681E">
              <w:rPr>
                <w:sz w:val="23"/>
                <w:szCs w:val="23"/>
              </w:rPr>
              <w:t xml:space="preserve"> and professional misconduct. Applicants will confirm that they comply with British Council requirements by responding to pre-submission questions on the top of the application form.</w:t>
            </w:r>
          </w:p>
          <w:p w14:paraId="48E65CC1" w14:textId="77777777" w:rsidR="0095681E" w:rsidRPr="0095681E" w:rsidRDefault="0095681E" w:rsidP="00F911C9">
            <w:pPr>
              <w:rPr>
                <w:sz w:val="23"/>
                <w:szCs w:val="23"/>
              </w:rPr>
            </w:pPr>
          </w:p>
        </w:tc>
        <w:tc>
          <w:tcPr>
            <w:tcW w:w="1260" w:type="dxa"/>
            <w:shd w:val="clear" w:color="auto" w:fill="auto"/>
          </w:tcPr>
          <w:p w14:paraId="48812A4F" w14:textId="77777777" w:rsidR="0095681E" w:rsidRPr="000853F4" w:rsidRDefault="0095681E" w:rsidP="00F911C9">
            <w:r w:rsidRPr="000853F4">
              <w:t xml:space="preserve"> </w:t>
            </w:r>
          </w:p>
        </w:tc>
      </w:tr>
      <w:tr w:rsidR="0095681E" w:rsidRPr="000853F4" w14:paraId="6CBFBB83" w14:textId="77777777" w:rsidTr="0095681E">
        <w:tblPrEx>
          <w:tblCellMar>
            <w:top w:w="9" w:type="dxa"/>
            <w:left w:w="5" w:type="dxa"/>
            <w:right w:w="10" w:type="dxa"/>
          </w:tblCellMar>
        </w:tblPrEx>
        <w:trPr>
          <w:trHeight w:val="1421"/>
        </w:trPr>
        <w:tc>
          <w:tcPr>
            <w:tcW w:w="8910" w:type="dxa"/>
            <w:shd w:val="clear" w:color="auto" w:fill="auto"/>
            <w:vAlign w:val="center"/>
          </w:tcPr>
          <w:p w14:paraId="3E23B89B" w14:textId="77777777" w:rsidR="0095681E" w:rsidRPr="0095681E" w:rsidRDefault="0095681E" w:rsidP="00F911C9">
            <w:pPr>
              <w:rPr>
                <w:sz w:val="23"/>
                <w:szCs w:val="23"/>
              </w:rPr>
            </w:pPr>
            <w:r w:rsidRPr="0095681E">
              <w:rPr>
                <w:sz w:val="23"/>
                <w:szCs w:val="23"/>
              </w:rPr>
              <w:lastRenderedPageBreak/>
              <w:t>The Lead Applicants have submitted a sufficient Gender Equality Statement. They have addressed the five criteria in a meaningful and proportionate way</w:t>
            </w:r>
          </w:p>
          <w:p w14:paraId="7B6DE0AE" w14:textId="77777777" w:rsidR="0095681E" w:rsidRPr="0095681E" w:rsidRDefault="0095681E" w:rsidP="00F911C9">
            <w:pPr>
              <w:rPr>
                <w:sz w:val="23"/>
                <w:szCs w:val="23"/>
              </w:rPr>
            </w:pPr>
          </w:p>
        </w:tc>
        <w:tc>
          <w:tcPr>
            <w:tcW w:w="1260" w:type="dxa"/>
            <w:shd w:val="clear" w:color="auto" w:fill="auto"/>
          </w:tcPr>
          <w:p w14:paraId="41517343" w14:textId="77777777" w:rsidR="0095681E" w:rsidRPr="000853F4" w:rsidRDefault="0095681E" w:rsidP="00F911C9">
            <w:r w:rsidRPr="000853F4">
              <w:t xml:space="preserve"> </w:t>
            </w:r>
          </w:p>
        </w:tc>
      </w:tr>
      <w:tr w:rsidR="0095681E" w:rsidRPr="000853F4" w14:paraId="7865F7B1" w14:textId="77777777" w:rsidTr="0095681E">
        <w:tblPrEx>
          <w:tblCellMar>
            <w:top w:w="9" w:type="dxa"/>
            <w:left w:w="5" w:type="dxa"/>
            <w:right w:w="10" w:type="dxa"/>
          </w:tblCellMar>
        </w:tblPrEx>
        <w:trPr>
          <w:trHeight w:val="1421"/>
        </w:trPr>
        <w:tc>
          <w:tcPr>
            <w:tcW w:w="8910" w:type="dxa"/>
            <w:shd w:val="clear" w:color="auto" w:fill="auto"/>
            <w:vAlign w:val="center"/>
          </w:tcPr>
          <w:p w14:paraId="12897931" w14:textId="77777777" w:rsidR="0095681E" w:rsidRPr="0095681E" w:rsidRDefault="0095681E" w:rsidP="00F911C9">
            <w:pPr>
              <w:rPr>
                <w:sz w:val="23"/>
                <w:szCs w:val="23"/>
              </w:rPr>
            </w:pPr>
            <w:r w:rsidRPr="0095681E">
              <w:rPr>
                <w:sz w:val="23"/>
                <w:szCs w:val="23"/>
              </w:rPr>
              <w:t xml:space="preserve">The Lead Applicants have submitted a sufficient Environment Statement. </w:t>
            </w:r>
          </w:p>
          <w:p w14:paraId="3EFB1628" w14:textId="77777777" w:rsidR="0095681E" w:rsidRPr="0095681E" w:rsidRDefault="0095681E" w:rsidP="00F911C9">
            <w:pPr>
              <w:rPr>
                <w:sz w:val="23"/>
                <w:szCs w:val="23"/>
              </w:rPr>
            </w:pPr>
          </w:p>
        </w:tc>
        <w:tc>
          <w:tcPr>
            <w:tcW w:w="1260" w:type="dxa"/>
            <w:shd w:val="clear" w:color="auto" w:fill="auto"/>
          </w:tcPr>
          <w:p w14:paraId="418DCFB4" w14:textId="77777777" w:rsidR="0095681E" w:rsidRPr="000853F4" w:rsidRDefault="0095681E" w:rsidP="00F911C9"/>
        </w:tc>
      </w:tr>
      <w:tr w:rsidR="0095681E" w:rsidRPr="000853F4" w14:paraId="4BD5AB7E" w14:textId="77777777" w:rsidTr="0095681E">
        <w:tblPrEx>
          <w:tblCellMar>
            <w:top w:w="9" w:type="dxa"/>
            <w:left w:w="5" w:type="dxa"/>
            <w:right w:w="10" w:type="dxa"/>
          </w:tblCellMar>
        </w:tblPrEx>
        <w:trPr>
          <w:trHeight w:val="1421"/>
        </w:trPr>
        <w:tc>
          <w:tcPr>
            <w:tcW w:w="8910" w:type="dxa"/>
            <w:shd w:val="clear" w:color="auto" w:fill="auto"/>
            <w:vAlign w:val="center"/>
          </w:tcPr>
          <w:p w14:paraId="7ADC3031" w14:textId="77777777" w:rsidR="0095681E" w:rsidRPr="0095681E" w:rsidRDefault="0095681E" w:rsidP="00F911C9">
            <w:pPr>
              <w:rPr>
                <w:sz w:val="23"/>
                <w:szCs w:val="23"/>
              </w:rPr>
            </w:pPr>
            <w:r w:rsidRPr="0095681E">
              <w:rPr>
                <w:sz w:val="23"/>
                <w:szCs w:val="23"/>
              </w:rPr>
              <w:t>Applicants have submitted a detailed budget request using the budget spreadsheet provided with the grant call documents on our funding call page.</w:t>
            </w:r>
          </w:p>
        </w:tc>
        <w:tc>
          <w:tcPr>
            <w:tcW w:w="1260" w:type="dxa"/>
            <w:shd w:val="clear" w:color="auto" w:fill="auto"/>
          </w:tcPr>
          <w:p w14:paraId="6C31C168" w14:textId="77777777" w:rsidR="0095681E" w:rsidRPr="000853F4" w:rsidRDefault="0095681E" w:rsidP="00F911C9"/>
        </w:tc>
      </w:tr>
      <w:tr w:rsidR="0095681E" w:rsidRPr="000853F4" w14:paraId="3F59B023" w14:textId="77777777" w:rsidTr="0095681E">
        <w:tblPrEx>
          <w:tblCellMar>
            <w:top w:w="9" w:type="dxa"/>
            <w:left w:w="5" w:type="dxa"/>
            <w:right w:w="10" w:type="dxa"/>
          </w:tblCellMar>
        </w:tblPrEx>
        <w:trPr>
          <w:trHeight w:val="1421"/>
        </w:trPr>
        <w:tc>
          <w:tcPr>
            <w:tcW w:w="8910" w:type="dxa"/>
            <w:shd w:val="clear" w:color="auto" w:fill="auto"/>
            <w:vAlign w:val="center"/>
          </w:tcPr>
          <w:p w14:paraId="5F20CC3A" w14:textId="77777777" w:rsidR="0095681E" w:rsidRPr="0095681E" w:rsidRDefault="0095681E" w:rsidP="00F911C9">
            <w:pPr>
              <w:rPr>
                <w:sz w:val="23"/>
                <w:szCs w:val="23"/>
              </w:rPr>
            </w:pPr>
            <w:r w:rsidRPr="0095681E">
              <w:rPr>
                <w:sz w:val="23"/>
                <w:szCs w:val="23"/>
              </w:rPr>
              <w:t>Applicants have submitted a CV for both Lead Applicants from UK and Egypt.</w:t>
            </w:r>
          </w:p>
        </w:tc>
        <w:tc>
          <w:tcPr>
            <w:tcW w:w="1260" w:type="dxa"/>
            <w:shd w:val="clear" w:color="auto" w:fill="auto"/>
          </w:tcPr>
          <w:p w14:paraId="0847A38B" w14:textId="77777777" w:rsidR="0095681E" w:rsidRPr="000853F4" w:rsidRDefault="0095681E" w:rsidP="00F911C9"/>
        </w:tc>
      </w:tr>
      <w:tr w:rsidR="0095681E" w:rsidRPr="000853F4" w14:paraId="611D47F0" w14:textId="77777777" w:rsidTr="0095681E">
        <w:tblPrEx>
          <w:tblCellMar>
            <w:top w:w="9" w:type="dxa"/>
            <w:left w:w="5" w:type="dxa"/>
            <w:right w:w="10" w:type="dxa"/>
          </w:tblCellMar>
        </w:tblPrEx>
        <w:trPr>
          <w:trHeight w:val="1421"/>
        </w:trPr>
        <w:tc>
          <w:tcPr>
            <w:tcW w:w="8910" w:type="dxa"/>
            <w:shd w:val="clear" w:color="auto" w:fill="auto"/>
            <w:vAlign w:val="center"/>
          </w:tcPr>
          <w:p w14:paraId="6EC701BC" w14:textId="77777777" w:rsidR="0095681E" w:rsidRPr="0095681E" w:rsidRDefault="0095681E" w:rsidP="00F911C9">
            <w:pPr>
              <w:rPr>
                <w:sz w:val="23"/>
                <w:szCs w:val="23"/>
              </w:rPr>
            </w:pPr>
            <w:r w:rsidRPr="0095681E">
              <w:rPr>
                <w:sz w:val="23"/>
                <w:szCs w:val="23"/>
              </w:rPr>
              <w:t xml:space="preserve">Where relevant, Associated Partner letters have been included </w:t>
            </w:r>
          </w:p>
          <w:p w14:paraId="639A6D06" w14:textId="77777777" w:rsidR="0095681E" w:rsidRPr="0095681E" w:rsidRDefault="0095681E" w:rsidP="00F911C9">
            <w:pPr>
              <w:rPr>
                <w:sz w:val="23"/>
                <w:szCs w:val="23"/>
              </w:rPr>
            </w:pPr>
          </w:p>
          <w:p w14:paraId="36557664" w14:textId="77777777" w:rsidR="0095681E" w:rsidRPr="0095681E" w:rsidRDefault="0095681E" w:rsidP="00F911C9">
            <w:pPr>
              <w:rPr>
                <w:sz w:val="23"/>
                <w:szCs w:val="23"/>
              </w:rPr>
            </w:pPr>
          </w:p>
        </w:tc>
        <w:tc>
          <w:tcPr>
            <w:tcW w:w="1260" w:type="dxa"/>
            <w:shd w:val="clear" w:color="auto" w:fill="auto"/>
          </w:tcPr>
          <w:p w14:paraId="07ABB3CC" w14:textId="77777777" w:rsidR="0095681E" w:rsidRPr="000853F4" w:rsidRDefault="0095681E" w:rsidP="00F911C9"/>
        </w:tc>
      </w:tr>
      <w:tr w:rsidR="0095681E" w:rsidRPr="000853F4" w14:paraId="7ABB7DF4" w14:textId="77777777" w:rsidTr="0095681E">
        <w:tblPrEx>
          <w:tblCellMar>
            <w:top w:w="9" w:type="dxa"/>
            <w:left w:w="5" w:type="dxa"/>
            <w:right w:w="10" w:type="dxa"/>
          </w:tblCellMar>
        </w:tblPrEx>
        <w:trPr>
          <w:trHeight w:val="1421"/>
        </w:trPr>
        <w:tc>
          <w:tcPr>
            <w:tcW w:w="8910" w:type="dxa"/>
            <w:shd w:val="clear" w:color="auto" w:fill="auto"/>
            <w:vAlign w:val="center"/>
          </w:tcPr>
          <w:p w14:paraId="3B5DB02F" w14:textId="77777777" w:rsidR="0095681E" w:rsidRPr="0095681E" w:rsidRDefault="0095681E" w:rsidP="00F911C9">
            <w:pPr>
              <w:rPr>
                <w:sz w:val="23"/>
                <w:szCs w:val="23"/>
              </w:rPr>
            </w:pPr>
            <w:r w:rsidRPr="0095681E">
              <w:rPr>
                <w:sz w:val="23"/>
                <w:szCs w:val="23"/>
              </w:rPr>
              <w:t>Human resource costs: Staff costs for personnel working directly on the grant funded project limited to 30% of the grant to be awarded.</w:t>
            </w:r>
          </w:p>
        </w:tc>
        <w:tc>
          <w:tcPr>
            <w:tcW w:w="1260" w:type="dxa"/>
            <w:shd w:val="clear" w:color="auto" w:fill="auto"/>
          </w:tcPr>
          <w:p w14:paraId="143CC76E" w14:textId="77777777" w:rsidR="0095681E" w:rsidRPr="000853F4" w:rsidRDefault="0095681E" w:rsidP="00F911C9"/>
        </w:tc>
      </w:tr>
      <w:tr w:rsidR="0095681E" w:rsidRPr="000853F4" w14:paraId="78D3B92F" w14:textId="77777777" w:rsidTr="0095681E">
        <w:tblPrEx>
          <w:tblCellMar>
            <w:top w:w="9" w:type="dxa"/>
            <w:left w:w="5" w:type="dxa"/>
            <w:right w:w="10" w:type="dxa"/>
          </w:tblCellMar>
        </w:tblPrEx>
        <w:trPr>
          <w:trHeight w:val="968"/>
        </w:trPr>
        <w:tc>
          <w:tcPr>
            <w:tcW w:w="8910" w:type="dxa"/>
            <w:shd w:val="clear" w:color="auto" w:fill="auto"/>
            <w:vAlign w:val="center"/>
          </w:tcPr>
          <w:p w14:paraId="05DC0649" w14:textId="77777777" w:rsidR="0095681E" w:rsidRPr="0095681E" w:rsidRDefault="0095681E" w:rsidP="00F911C9">
            <w:pPr>
              <w:rPr>
                <w:sz w:val="23"/>
                <w:szCs w:val="23"/>
              </w:rPr>
            </w:pPr>
            <w:r w:rsidRPr="0095681E">
              <w:rPr>
                <w:sz w:val="23"/>
                <w:szCs w:val="23"/>
              </w:rPr>
              <w:t>UK expertise costs: Limited to 20% of grant to be awarded.</w:t>
            </w:r>
          </w:p>
        </w:tc>
        <w:tc>
          <w:tcPr>
            <w:tcW w:w="1260" w:type="dxa"/>
            <w:shd w:val="clear" w:color="auto" w:fill="auto"/>
          </w:tcPr>
          <w:p w14:paraId="64E9CFBF" w14:textId="77777777" w:rsidR="0095681E" w:rsidRPr="000853F4" w:rsidRDefault="0095681E" w:rsidP="00F911C9"/>
        </w:tc>
      </w:tr>
      <w:tr w:rsidR="0095681E" w:rsidRPr="000853F4" w14:paraId="773FFBC1" w14:textId="77777777" w:rsidTr="0095681E">
        <w:tblPrEx>
          <w:tblCellMar>
            <w:top w:w="9" w:type="dxa"/>
            <w:left w:w="5" w:type="dxa"/>
            <w:right w:w="10" w:type="dxa"/>
          </w:tblCellMar>
        </w:tblPrEx>
        <w:trPr>
          <w:trHeight w:val="826"/>
        </w:trPr>
        <w:tc>
          <w:tcPr>
            <w:tcW w:w="8910" w:type="dxa"/>
            <w:shd w:val="clear" w:color="auto" w:fill="auto"/>
            <w:vAlign w:val="center"/>
          </w:tcPr>
          <w:p w14:paraId="6D74485E" w14:textId="77777777" w:rsidR="0095681E" w:rsidRPr="0095681E" w:rsidRDefault="0095681E" w:rsidP="00F911C9">
            <w:pPr>
              <w:rPr>
                <w:sz w:val="23"/>
                <w:szCs w:val="23"/>
              </w:rPr>
            </w:pPr>
            <w:r w:rsidRPr="0095681E">
              <w:rPr>
                <w:sz w:val="23"/>
                <w:szCs w:val="23"/>
              </w:rPr>
              <w:t>Travel costs: Limited to 20% of the grant.</w:t>
            </w:r>
          </w:p>
        </w:tc>
        <w:tc>
          <w:tcPr>
            <w:tcW w:w="1260" w:type="dxa"/>
            <w:shd w:val="clear" w:color="auto" w:fill="auto"/>
          </w:tcPr>
          <w:p w14:paraId="21092793" w14:textId="77777777" w:rsidR="0095681E" w:rsidRPr="000853F4" w:rsidRDefault="0095681E" w:rsidP="00F911C9"/>
        </w:tc>
      </w:tr>
    </w:tbl>
    <w:p w14:paraId="6CAA14A5" w14:textId="77777777" w:rsidR="0095681E" w:rsidRDefault="0095681E" w:rsidP="0095681E"/>
    <w:p w14:paraId="53E6EFC2" w14:textId="77777777" w:rsidR="0095681E" w:rsidRDefault="0095681E" w:rsidP="0095681E"/>
    <w:p w14:paraId="5D88BC04" w14:textId="77777777" w:rsidR="0095681E" w:rsidRDefault="0095681E" w:rsidP="0095681E"/>
    <w:p w14:paraId="61A1DDC9" w14:textId="77777777" w:rsidR="0095681E" w:rsidRDefault="0095681E" w:rsidP="0095681E"/>
    <w:p w14:paraId="19C65D49" w14:textId="77777777" w:rsidR="0095681E" w:rsidRDefault="0095681E" w:rsidP="0095681E"/>
    <w:p w14:paraId="69F57742" w14:textId="77777777" w:rsidR="0095681E" w:rsidRDefault="0095681E" w:rsidP="0095681E"/>
    <w:p w14:paraId="08ED1298" w14:textId="77777777" w:rsidR="0095681E" w:rsidRDefault="0095681E" w:rsidP="0095681E"/>
    <w:p w14:paraId="09EF0F1D" w14:textId="77777777" w:rsidR="0095681E" w:rsidRDefault="0095681E" w:rsidP="0095681E"/>
    <w:sectPr w:rsidR="0095681E">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0EC9" w14:textId="77777777" w:rsidR="00900B0D" w:rsidRDefault="00900B0D" w:rsidP="00900B0D">
      <w:pPr>
        <w:spacing w:after="0" w:line="240" w:lineRule="auto"/>
      </w:pPr>
      <w:r>
        <w:separator/>
      </w:r>
    </w:p>
  </w:endnote>
  <w:endnote w:type="continuationSeparator" w:id="0">
    <w:p w14:paraId="25AE2B81" w14:textId="77777777" w:rsidR="00900B0D" w:rsidRDefault="00900B0D" w:rsidP="00900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CB1F3" w14:textId="77777777" w:rsidR="00900B0D" w:rsidRDefault="00900B0D" w:rsidP="00900B0D">
      <w:pPr>
        <w:spacing w:after="0" w:line="240" w:lineRule="auto"/>
      </w:pPr>
      <w:r>
        <w:separator/>
      </w:r>
    </w:p>
  </w:footnote>
  <w:footnote w:type="continuationSeparator" w:id="0">
    <w:p w14:paraId="006C03B7" w14:textId="77777777" w:rsidR="00900B0D" w:rsidRDefault="00900B0D" w:rsidP="00900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D224C1"/>
    <w:multiLevelType w:val="hybridMultilevel"/>
    <w:tmpl w:val="081EB6FC"/>
    <w:lvl w:ilvl="0" w:tplc="5434E2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B9"/>
    <w:rsid w:val="006972B9"/>
    <w:rsid w:val="00900B0D"/>
    <w:rsid w:val="0095681E"/>
    <w:rsid w:val="00D147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CAD13"/>
  <w15:chartTrackingRefBased/>
  <w15:docId w15:val="{381854EB-F661-4430-BEE0-6ED18F5D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81E"/>
    <w:pPr>
      <w:spacing w:after="120" w:line="276" w:lineRule="auto"/>
    </w:pPr>
    <w:rPr>
      <w:rFonts w:ascii="Arial" w:eastAsiaTheme="minorEastAsia"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81E"/>
    <w:rPr>
      <w:rFonts w:ascii="Arial" w:hAnsi="Arial"/>
      <w:color w:val="4472C4" w:themeColor="accen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fficeforstudents.org.uk/advice-and-guidance/the-register/the-ofs-register/" TargetMode="External"/><Relationship Id="rId3" Type="http://schemas.openxmlformats.org/officeDocument/2006/relationships/settings" Target="settings.xml"/><Relationship Id="rId7" Type="http://schemas.openxmlformats.org/officeDocument/2006/relationships/hyperlink" Target="https://www.officeforstudents.org.uk/advice-and-guidance/regulation/degree-awarding-pow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oingglobalpartnerships@british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AbdelAzim, Marwa (Egypt)</dc:creator>
  <cp:keywords/>
  <dc:description/>
  <cp:lastModifiedBy>AbdelAzim, Marwa (Egypt)</cp:lastModifiedBy>
  <cp:revision>2</cp:revision>
  <dcterms:created xsi:type="dcterms:W3CDTF">2022-09-21T11:54:00Z</dcterms:created>
  <dcterms:modified xsi:type="dcterms:W3CDTF">2022-09-21T12:05:00Z</dcterms:modified>
</cp:coreProperties>
</file>