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2943"/>
        <w:gridCol w:w="7088"/>
      </w:tblGrid>
      <w:tr w:rsidR="00887A6C" w:rsidRPr="008820DC" w14:paraId="61F95FC7" w14:textId="77777777" w:rsidTr="00AC7B59">
        <w:tc>
          <w:tcPr>
            <w:tcW w:w="2943" w:type="dxa"/>
          </w:tcPr>
          <w:p w14:paraId="03666AA5" w14:textId="77777777" w:rsidR="00887A6C" w:rsidRPr="008820DC" w:rsidRDefault="00887A6C" w:rsidP="0049171F">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0B15E4DB" w14:textId="66AB5C96" w:rsidR="00887A6C" w:rsidRPr="0049171F" w:rsidRDefault="00D112CD" w:rsidP="0049171F">
            <w:pPr>
              <w:autoSpaceDE w:val="0"/>
              <w:autoSpaceDN w:val="0"/>
              <w:adjustRightInd w:val="0"/>
              <w:spacing w:before="60" w:after="160" w:line="276" w:lineRule="auto"/>
              <w:rPr>
                <w:rFonts w:cs="Arial"/>
                <w:szCs w:val="22"/>
              </w:rPr>
            </w:pPr>
            <w:r w:rsidRPr="00985972">
              <w:rPr>
                <w:rFonts w:cs="Arial"/>
                <w:b/>
                <w:szCs w:val="22"/>
              </w:rPr>
              <w:t>BC Foundation</w:t>
            </w:r>
            <w:r w:rsidRPr="00985972">
              <w:rPr>
                <w:rFonts w:cs="Arial"/>
                <w:bCs/>
                <w:szCs w:val="22"/>
              </w:rPr>
              <w:t xml:space="preserve">, located at No. 254 </w:t>
            </w:r>
            <w:proofErr w:type="spellStart"/>
            <w:r w:rsidRPr="00985972">
              <w:rPr>
                <w:rFonts w:cs="Arial"/>
                <w:bCs/>
                <w:szCs w:val="22"/>
              </w:rPr>
              <w:t>Wittayakit</w:t>
            </w:r>
            <w:proofErr w:type="spellEnd"/>
            <w:r w:rsidRPr="00985972">
              <w:rPr>
                <w:rFonts w:cs="Arial"/>
                <w:bCs/>
                <w:szCs w:val="22"/>
              </w:rPr>
              <w:t xml:space="preserve"> Building, Chulalongkorn </w:t>
            </w:r>
            <w:proofErr w:type="spellStart"/>
            <w:r w:rsidRPr="00985972">
              <w:rPr>
                <w:rFonts w:cs="Arial"/>
                <w:bCs/>
                <w:szCs w:val="22"/>
              </w:rPr>
              <w:t>Soi</w:t>
            </w:r>
            <w:proofErr w:type="spellEnd"/>
            <w:r w:rsidRPr="00985972">
              <w:rPr>
                <w:rFonts w:cs="Arial"/>
                <w:bCs/>
                <w:szCs w:val="22"/>
              </w:rPr>
              <w:t xml:space="preserve"> 64, Siam Square, </w:t>
            </w:r>
            <w:proofErr w:type="spellStart"/>
            <w:r w:rsidRPr="00985972">
              <w:rPr>
                <w:rFonts w:cs="Arial"/>
                <w:bCs/>
                <w:szCs w:val="22"/>
              </w:rPr>
              <w:t>Phyathai</w:t>
            </w:r>
            <w:proofErr w:type="spellEnd"/>
            <w:r w:rsidRPr="00985972">
              <w:rPr>
                <w:rFonts w:cs="Arial"/>
                <w:bCs/>
                <w:szCs w:val="22"/>
              </w:rPr>
              <w:t xml:space="preserve"> Road, </w:t>
            </w:r>
            <w:proofErr w:type="spellStart"/>
            <w:r w:rsidRPr="00985972">
              <w:rPr>
                <w:rFonts w:cs="Arial"/>
                <w:bCs/>
                <w:szCs w:val="22"/>
              </w:rPr>
              <w:t>Kwaeng</w:t>
            </w:r>
            <w:proofErr w:type="spellEnd"/>
            <w:r w:rsidRPr="00985972">
              <w:rPr>
                <w:rFonts w:cs="Arial"/>
                <w:bCs/>
                <w:szCs w:val="22"/>
              </w:rPr>
              <w:t xml:space="preserve"> </w:t>
            </w:r>
            <w:proofErr w:type="spellStart"/>
            <w:r w:rsidRPr="00985972">
              <w:rPr>
                <w:rFonts w:cs="Arial"/>
                <w:bCs/>
                <w:szCs w:val="22"/>
              </w:rPr>
              <w:t>Wangmai</w:t>
            </w:r>
            <w:proofErr w:type="spellEnd"/>
            <w:r w:rsidRPr="00985972">
              <w:rPr>
                <w:rFonts w:cs="Arial"/>
                <w:bCs/>
                <w:szCs w:val="22"/>
              </w:rPr>
              <w:t xml:space="preserve">, Khet </w:t>
            </w:r>
            <w:proofErr w:type="spellStart"/>
            <w:r w:rsidRPr="00985972">
              <w:rPr>
                <w:rFonts w:cs="Arial"/>
                <w:bCs/>
                <w:szCs w:val="22"/>
              </w:rPr>
              <w:t>Pathumwan</w:t>
            </w:r>
            <w:proofErr w:type="spellEnd"/>
            <w:r w:rsidRPr="00985972">
              <w:rPr>
                <w:rFonts w:cs="Arial"/>
                <w:bCs/>
                <w:szCs w:val="22"/>
              </w:rPr>
              <w:t>, Bangkok, Thailand 10330</w:t>
            </w:r>
            <w:r w:rsidR="00AC7B59">
              <w:rPr>
                <w:rFonts w:cs="Arial"/>
                <w:bCs/>
                <w:szCs w:val="22"/>
              </w:rPr>
              <w:t xml:space="preserve"> (“</w:t>
            </w:r>
            <w:r w:rsidR="00AC7B59" w:rsidRPr="00AC7B59">
              <w:rPr>
                <w:rFonts w:cs="Arial"/>
                <w:b/>
                <w:szCs w:val="22"/>
              </w:rPr>
              <w:t>BCF</w:t>
            </w:r>
            <w:r w:rsidR="00AC7B59">
              <w:rPr>
                <w:rFonts w:cs="Arial"/>
                <w:bCs/>
                <w:szCs w:val="22"/>
              </w:rPr>
              <w:t>”)</w:t>
            </w:r>
          </w:p>
        </w:tc>
      </w:tr>
      <w:tr w:rsidR="00887A6C" w:rsidRPr="008820DC" w14:paraId="04DA3307" w14:textId="77777777" w:rsidTr="00AC7B59">
        <w:trPr>
          <w:trHeight w:val="383"/>
        </w:trPr>
        <w:tc>
          <w:tcPr>
            <w:tcW w:w="2943" w:type="dxa"/>
          </w:tcPr>
          <w:p w14:paraId="36DC344E" w14:textId="77777777" w:rsidR="00887A6C" w:rsidRPr="008820DC" w:rsidRDefault="00887A6C" w:rsidP="0049171F">
            <w:pPr>
              <w:spacing w:before="60" w:after="160" w:line="276" w:lineRule="auto"/>
              <w:rPr>
                <w:rFonts w:cs="Arial"/>
                <w:b/>
                <w:spacing w:val="-3"/>
                <w:szCs w:val="22"/>
              </w:rPr>
            </w:pPr>
            <w:r w:rsidRPr="008820DC">
              <w:rPr>
                <w:rFonts w:cs="Arial"/>
                <w:b/>
                <w:szCs w:val="22"/>
              </w:rPr>
              <w:t>The Supplier:</w:t>
            </w:r>
          </w:p>
        </w:tc>
        <w:tc>
          <w:tcPr>
            <w:tcW w:w="7088" w:type="dxa"/>
          </w:tcPr>
          <w:p w14:paraId="38CF541A" w14:textId="77777777" w:rsidR="00887A6C" w:rsidRPr="008820DC" w:rsidRDefault="00887A6C" w:rsidP="0049171F">
            <w:pPr>
              <w:spacing w:before="60" w:after="160" w:line="276" w:lineRule="auto"/>
              <w:rPr>
                <w:rFonts w:cs="Arial"/>
                <w:b/>
                <w:caps/>
                <w:szCs w:val="22"/>
              </w:rPr>
            </w:pPr>
            <w:r w:rsidRPr="00AC6DFD">
              <w:rPr>
                <w:rFonts w:cs="Arial"/>
                <w:b/>
                <w:szCs w:val="22"/>
                <w:highlight w:val="yellow"/>
              </w:rPr>
              <w:t>[</w:t>
            </w:r>
            <w:r w:rsidRPr="00AC6DFD">
              <w:rPr>
                <w:rFonts w:cs="Arial"/>
                <w:b/>
                <w:i/>
                <w:szCs w:val="22"/>
                <w:highlight w:val="yellow"/>
              </w:rPr>
              <w:t>insert name and address details (and company number, if appropriate)</w:t>
            </w:r>
            <w:r w:rsidRPr="00AC6DFD">
              <w:rPr>
                <w:rFonts w:cs="Arial"/>
                <w:b/>
                <w:szCs w:val="22"/>
                <w:highlight w:val="yellow"/>
              </w:rPr>
              <w:t>]</w:t>
            </w:r>
          </w:p>
        </w:tc>
      </w:tr>
      <w:tr w:rsidR="00C604F0" w:rsidRPr="008820DC" w14:paraId="087C9808" w14:textId="77777777" w:rsidTr="00AC7B59">
        <w:trPr>
          <w:trHeight w:val="383"/>
        </w:trPr>
        <w:tc>
          <w:tcPr>
            <w:tcW w:w="2943" w:type="dxa"/>
          </w:tcPr>
          <w:p w14:paraId="41E45541" w14:textId="77777777" w:rsidR="00C604F0" w:rsidRPr="008820DC" w:rsidRDefault="00C604F0" w:rsidP="0049171F">
            <w:pPr>
              <w:spacing w:before="60" w:after="160" w:line="276" w:lineRule="auto"/>
              <w:rPr>
                <w:rFonts w:cs="Arial"/>
                <w:b/>
                <w:szCs w:val="22"/>
              </w:rPr>
            </w:pPr>
            <w:r w:rsidRPr="008820DC">
              <w:rPr>
                <w:rFonts w:cs="Arial"/>
                <w:b/>
                <w:szCs w:val="22"/>
              </w:rPr>
              <w:t>Date:</w:t>
            </w:r>
          </w:p>
        </w:tc>
        <w:tc>
          <w:tcPr>
            <w:tcW w:w="7088" w:type="dxa"/>
          </w:tcPr>
          <w:p w14:paraId="6FA783EA" w14:textId="22606E74" w:rsidR="00C604F0" w:rsidRPr="008820DC" w:rsidRDefault="00AC7B59" w:rsidP="0049171F">
            <w:pPr>
              <w:spacing w:before="60" w:after="160" w:line="276" w:lineRule="auto"/>
              <w:rPr>
                <w:rFonts w:cs="Arial"/>
                <w:b/>
                <w:szCs w:val="22"/>
              </w:rPr>
            </w:pPr>
            <w:r>
              <w:rPr>
                <w:rFonts w:cs="Arial"/>
                <w:b/>
                <w:szCs w:val="22"/>
              </w:rPr>
              <w:t>1 October 2021</w:t>
            </w:r>
          </w:p>
        </w:tc>
      </w:tr>
    </w:tbl>
    <w:p w14:paraId="6157C826" w14:textId="04E8F630" w:rsidR="00AC7B59" w:rsidRDefault="00AC7B59" w:rsidP="0049171F">
      <w:pPr>
        <w:spacing w:before="60" w:after="160" w:line="276" w:lineRule="auto"/>
        <w:rPr>
          <w:rFonts w:cs="Arial"/>
          <w:szCs w:val="22"/>
        </w:rPr>
      </w:pPr>
      <w:r w:rsidRPr="00AC7B59">
        <w:rPr>
          <w:rFonts w:cs="Arial"/>
          <w:szCs w:val="22"/>
        </w:rPr>
        <w:t>BC Foundation (</w:t>
      </w:r>
      <w:proofErr w:type="spellStart"/>
      <w:r w:rsidRPr="00AC7B59">
        <w:rPr>
          <w:rFonts w:cs="Arial"/>
          <w:szCs w:val="22"/>
        </w:rPr>
        <w:t>Gor</w:t>
      </w:r>
      <w:proofErr w:type="spellEnd"/>
      <w:r w:rsidRPr="00AC7B59">
        <w:rPr>
          <w:rFonts w:cs="Arial"/>
          <w:szCs w:val="22"/>
        </w:rPr>
        <w:t xml:space="preserve"> Tor 3051) is a non-profit entity registered under Thai law. The British Council is the United Kingdom's international organisation for cultural relations and educational opportunities.</w:t>
      </w:r>
    </w:p>
    <w:p w14:paraId="2EE10D4D" w14:textId="378785DC" w:rsidR="00887A6C" w:rsidRPr="008820DC" w:rsidRDefault="00887A6C" w:rsidP="0049171F">
      <w:pPr>
        <w:spacing w:before="60" w:after="160" w:line="276" w:lineRule="auto"/>
        <w:rPr>
          <w:rFonts w:cs="Arial"/>
          <w:szCs w:val="22"/>
        </w:rPr>
      </w:pPr>
      <w:r w:rsidRPr="008820DC">
        <w:rPr>
          <w:rFonts w:cs="Arial"/>
          <w:szCs w:val="22"/>
        </w:rPr>
        <w:t xml:space="preserve">This Agreement is made on the date set out above subject to the terms set out in the schedules listed below which both the </w:t>
      </w:r>
      <w:r w:rsidR="00AC7B59">
        <w:rPr>
          <w:rFonts w:cs="Arial"/>
          <w:szCs w:val="22"/>
        </w:rPr>
        <w:t>BCF</w:t>
      </w:r>
      <w:r w:rsidRPr="008820DC">
        <w:rPr>
          <w:rFonts w:cs="Arial"/>
          <w:szCs w:val="22"/>
        </w:rPr>
        <w:t xml:space="preserve"> and the Supplier undertake to observe in the performance of this Agreement.</w:t>
      </w:r>
    </w:p>
    <w:p w14:paraId="0AC804C3" w14:textId="36F1C951" w:rsidR="00887A6C" w:rsidRPr="008820DC" w:rsidRDefault="00887A6C" w:rsidP="0049171F">
      <w:pPr>
        <w:spacing w:before="60" w:after="160" w:line="276" w:lineRule="auto"/>
        <w:rPr>
          <w:rFonts w:cs="Arial"/>
          <w:szCs w:val="22"/>
        </w:rPr>
      </w:pPr>
      <w:r w:rsidRPr="008820DC">
        <w:rPr>
          <w:rFonts w:cs="Arial"/>
          <w:szCs w:val="22"/>
        </w:rPr>
        <w:t xml:space="preserve">The Supplier shall supply to the </w:t>
      </w:r>
      <w:r w:rsidR="00AC7B59">
        <w:rPr>
          <w:rFonts w:cs="Arial"/>
          <w:szCs w:val="22"/>
        </w:rPr>
        <w:t>BCF</w:t>
      </w:r>
      <w:r w:rsidRPr="008820DC">
        <w:rPr>
          <w:rFonts w:cs="Arial"/>
          <w:szCs w:val="22"/>
        </w:rPr>
        <w:t xml:space="preserve">, and the </w:t>
      </w:r>
      <w:r w:rsidR="00AC7B59">
        <w:rPr>
          <w:rFonts w:cs="Arial"/>
          <w:szCs w:val="22"/>
        </w:rPr>
        <w:t>BCF</w:t>
      </w:r>
      <w:r w:rsidRPr="008820DC">
        <w:rPr>
          <w:rFonts w:cs="Arial"/>
          <w:szCs w:val="22"/>
        </w:rPr>
        <w:t xml:space="preserve">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366B72C0" w14:textId="77777777" w:rsidR="00887A6C" w:rsidRPr="008820DC" w:rsidRDefault="00887A6C" w:rsidP="0049171F">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239D7711" w14:textId="77777777" w:rsidTr="00D40D86">
        <w:tc>
          <w:tcPr>
            <w:tcW w:w="1298" w:type="pct"/>
          </w:tcPr>
          <w:p w14:paraId="531DF548" w14:textId="77777777" w:rsidR="00887A6C" w:rsidRPr="008820DC" w:rsidRDefault="00887A6C" w:rsidP="00C604F0">
            <w:pPr>
              <w:spacing w:before="60" w:after="60" w:line="276" w:lineRule="auto"/>
              <w:rPr>
                <w:rFonts w:cs="Arial"/>
                <w:b/>
                <w:szCs w:val="22"/>
              </w:rPr>
            </w:pPr>
            <w:r w:rsidRPr="008820DC">
              <w:rPr>
                <w:rFonts w:cs="Arial"/>
                <w:b/>
                <w:szCs w:val="22"/>
              </w:rPr>
              <w:t>Schedule 1</w:t>
            </w:r>
          </w:p>
        </w:tc>
        <w:tc>
          <w:tcPr>
            <w:tcW w:w="3702" w:type="pct"/>
          </w:tcPr>
          <w:p w14:paraId="3F57BA93" w14:textId="77777777" w:rsidR="00887A6C" w:rsidRPr="008820DC" w:rsidRDefault="00887A6C" w:rsidP="00C604F0">
            <w:pPr>
              <w:spacing w:before="60" w:after="60" w:line="276" w:lineRule="auto"/>
              <w:rPr>
                <w:rFonts w:cs="Arial"/>
                <w:szCs w:val="22"/>
              </w:rPr>
            </w:pPr>
            <w:r w:rsidRPr="008820DC">
              <w:rPr>
                <w:rFonts w:cs="Arial"/>
                <w:szCs w:val="22"/>
              </w:rPr>
              <w:t>Special Terms</w:t>
            </w:r>
          </w:p>
        </w:tc>
      </w:tr>
      <w:tr w:rsidR="00887A6C" w:rsidRPr="008820DC" w14:paraId="1696E628" w14:textId="77777777" w:rsidTr="00D40D86">
        <w:tc>
          <w:tcPr>
            <w:tcW w:w="1298" w:type="pct"/>
          </w:tcPr>
          <w:p w14:paraId="6AED7C99" w14:textId="77777777" w:rsidR="00887A6C" w:rsidRPr="008820DC" w:rsidRDefault="00887A6C" w:rsidP="00C604F0">
            <w:pPr>
              <w:spacing w:before="60" w:after="60" w:line="276" w:lineRule="auto"/>
              <w:rPr>
                <w:rFonts w:cs="Arial"/>
                <w:b/>
                <w:szCs w:val="22"/>
              </w:rPr>
            </w:pPr>
            <w:r w:rsidRPr="008820DC">
              <w:rPr>
                <w:rFonts w:cs="Arial"/>
                <w:b/>
                <w:szCs w:val="22"/>
              </w:rPr>
              <w:t>Schedule 2</w:t>
            </w:r>
          </w:p>
        </w:tc>
        <w:tc>
          <w:tcPr>
            <w:tcW w:w="3702" w:type="pct"/>
          </w:tcPr>
          <w:p w14:paraId="33D1E6FA" w14:textId="77777777" w:rsidR="00887A6C" w:rsidRPr="008820DC" w:rsidRDefault="00887A6C" w:rsidP="00C604F0">
            <w:pPr>
              <w:spacing w:before="60" w:after="60" w:line="276" w:lineRule="auto"/>
              <w:rPr>
                <w:rFonts w:cs="Arial"/>
                <w:szCs w:val="22"/>
              </w:rPr>
            </w:pPr>
            <w:r w:rsidRPr="008820DC">
              <w:rPr>
                <w:rFonts w:cs="Arial"/>
                <w:szCs w:val="22"/>
              </w:rPr>
              <w:t>Specification</w:t>
            </w:r>
          </w:p>
        </w:tc>
      </w:tr>
      <w:tr w:rsidR="00887A6C" w:rsidRPr="008820DC" w14:paraId="602DF12D" w14:textId="77777777" w:rsidTr="00D40D86">
        <w:tc>
          <w:tcPr>
            <w:tcW w:w="1298" w:type="pct"/>
          </w:tcPr>
          <w:p w14:paraId="36083E22" w14:textId="77777777" w:rsidR="00887A6C" w:rsidRPr="008820DC" w:rsidRDefault="00887A6C" w:rsidP="00C604F0">
            <w:pPr>
              <w:spacing w:before="60" w:after="60" w:line="276" w:lineRule="auto"/>
              <w:rPr>
                <w:rFonts w:cs="Arial"/>
                <w:b/>
                <w:szCs w:val="22"/>
              </w:rPr>
            </w:pPr>
            <w:r w:rsidRPr="008820DC">
              <w:rPr>
                <w:rFonts w:cs="Arial"/>
                <w:b/>
                <w:szCs w:val="22"/>
              </w:rPr>
              <w:t>Schedule 3</w:t>
            </w:r>
          </w:p>
        </w:tc>
        <w:tc>
          <w:tcPr>
            <w:tcW w:w="3702" w:type="pct"/>
          </w:tcPr>
          <w:p w14:paraId="754481A1" w14:textId="77777777" w:rsidR="00887A6C" w:rsidRPr="008820DC" w:rsidRDefault="00887A6C" w:rsidP="00C604F0">
            <w:pPr>
              <w:spacing w:before="60" w:after="60" w:line="276" w:lineRule="auto"/>
              <w:rPr>
                <w:rFonts w:cs="Arial"/>
                <w:szCs w:val="22"/>
              </w:rPr>
            </w:pPr>
            <w:r w:rsidRPr="008820DC">
              <w:rPr>
                <w:rFonts w:cs="Arial"/>
                <w:szCs w:val="22"/>
              </w:rPr>
              <w:t>Charges</w:t>
            </w:r>
          </w:p>
        </w:tc>
      </w:tr>
      <w:tr w:rsidR="00887A6C" w:rsidRPr="008820DC" w14:paraId="63602631" w14:textId="77777777" w:rsidTr="00D40D86">
        <w:tc>
          <w:tcPr>
            <w:tcW w:w="1298" w:type="pct"/>
          </w:tcPr>
          <w:p w14:paraId="5D8A3692" w14:textId="77777777" w:rsidR="00887A6C" w:rsidRPr="008820DC" w:rsidRDefault="00887A6C" w:rsidP="00C604F0">
            <w:pPr>
              <w:spacing w:before="60" w:after="60" w:line="276" w:lineRule="auto"/>
              <w:rPr>
                <w:rFonts w:cs="Arial"/>
                <w:b/>
                <w:szCs w:val="22"/>
              </w:rPr>
            </w:pPr>
            <w:r w:rsidRPr="008820DC">
              <w:rPr>
                <w:rFonts w:cs="Arial"/>
                <w:b/>
                <w:szCs w:val="22"/>
              </w:rPr>
              <w:t>Schedule 4</w:t>
            </w:r>
          </w:p>
        </w:tc>
        <w:tc>
          <w:tcPr>
            <w:tcW w:w="3702" w:type="pct"/>
          </w:tcPr>
          <w:p w14:paraId="1A5C561C" w14:textId="77777777" w:rsidR="00887A6C" w:rsidRPr="008820DC" w:rsidRDefault="00887A6C" w:rsidP="00C604F0">
            <w:pPr>
              <w:spacing w:before="60" w:after="60" w:line="276" w:lineRule="auto"/>
              <w:rPr>
                <w:rFonts w:cs="Arial"/>
                <w:szCs w:val="22"/>
              </w:rPr>
            </w:pPr>
            <w:r w:rsidRPr="008820DC">
              <w:rPr>
                <w:rFonts w:cs="Arial"/>
                <w:szCs w:val="22"/>
              </w:rPr>
              <w:t>Standard Terms</w:t>
            </w:r>
          </w:p>
        </w:tc>
      </w:tr>
      <w:tr w:rsidR="003F16A1" w:rsidRPr="008820DC" w14:paraId="7CDC44CF" w14:textId="77777777" w:rsidTr="00D40D86">
        <w:tc>
          <w:tcPr>
            <w:tcW w:w="1298" w:type="pct"/>
          </w:tcPr>
          <w:p w14:paraId="7AA62494" w14:textId="77777777" w:rsidR="003F16A1" w:rsidRPr="008820DC" w:rsidRDefault="003F16A1" w:rsidP="00C604F0">
            <w:pPr>
              <w:spacing w:before="60" w:after="60" w:line="276" w:lineRule="auto"/>
              <w:rPr>
                <w:rFonts w:cs="Arial"/>
                <w:b/>
                <w:szCs w:val="22"/>
              </w:rPr>
            </w:pPr>
            <w:r>
              <w:rPr>
                <w:rFonts w:cs="Arial"/>
                <w:b/>
                <w:szCs w:val="22"/>
              </w:rPr>
              <w:t>Schedule 5</w:t>
            </w:r>
          </w:p>
        </w:tc>
        <w:tc>
          <w:tcPr>
            <w:tcW w:w="3702" w:type="pct"/>
          </w:tcPr>
          <w:p w14:paraId="52D6287E" w14:textId="77777777" w:rsidR="003F16A1" w:rsidRPr="008820DC" w:rsidRDefault="003F16A1" w:rsidP="00C604F0">
            <w:pPr>
              <w:spacing w:before="60" w:after="60" w:line="276" w:lineRule="auto"/>
              <w:rPr>
                <w:rFonts w:cs="Arial"/>
                <w:szCs w:val="22"/>
              </w:rPr>
            </w:pPr>
            <w:r>
              <w:rPr>
                <w:rFonts w:cs="Arial"/>
                <w:szCs w:val="22"/>
              </w:rPr>
              <w:t>Data Processing Schedule</w:t>
            </w:r>
          </w:p>
        </w:tc>
      </w:tr>
    </w:tbl>
    <w:p w14:paraId="2948ADA4" w14:textId="77777777" w:rsidR="00287106" w:rsidRPr="008820DC" w:rsidRDefault="00887A6C" w:rsidP="00C604F0">
      <w:pPr>
        <w:spacing w:after="160" w:line="276"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14:paraId="705B31A9" w14:textId="77777777" w:rsidR="00D112CD" w:rsidRDefault="00D112CD">
      <w:pPr>
        <w:spacing w:before="0" w:line="240" w:lineRule="auto"/>
        <w:jc w:val="left"/>
        <w:rPr>
          <w:rFonts w:cs="Arial"/>
          <w:b/>
          <w:szCs w:val="22"/>
        </w:rPr>
      </w:pPr>
      <w:r>
        <w:rPr>
          <w:rFonts w:cs="Arial"/>
          <w:b/>
          <w:szCs w:val="22"/>
        </w:rPr>
        <w:br w:type="page"/>
      </w:r>
    </w:p>
    <w:p w14:paraId="643A2A8B" w14:textId="17A6AD83" w:rsidR="008820DC" w:rsidRDefault="00887A6C" w:rsidP="0049171F">
      <w:pPr>
        <w:keepNext/>
        <w:spacing w:before="60" w:after="160" w:line="276" w:lineRule="auto"/>
        <w:rPr>
          <w:rFonts w:cs="Arial"/>
          <w:szCs w:val="22"/>
        </w:rPr>
      </w:pPr>
      <w:r w:rsidRPr="008820DC">
        <w:rPr>
          <w:rFonts w:cs="Arial"/>
          <w:b/>
          <w:szCs w:val="22"/>
        </w:rPr>
        <w:lastRenderedPageBreak/>
        <w:t xml:space="preserve">IN WITNESS </w:t>
      </w:r>
      <w:r w:rsidRPr="008820DC">
        <w:rPr>
          <w:rFonts w:cs="Arial"/>
          <w:szCs w:val="22"/>
        </w:rPr>
        <w:t>whereof the parties or their duly authorised representatives have entered into this Agreement on the date set out above.</w:t>
      </w:r>
    </w:p>
    <w:p w14:paraId="267EF8A7" w14:textId="41038B47" w:rsidR="00887A6C" w:rsidRPr="008820DC" w:rsidRDefault="00887A6C" w:rsidP="00C604F0">
      <w:pPr>
        <w:keepNext/>
        <w:spacing w:before="60" w:after="60" w:line="276" w:lineRule="auto"/>
        <w:rPr>
          <w:rFonts w:cs="Arial"/>
          <w:b/>
          <w:szCs w:val="22"/>
        </w:rPr>
      </w:pPr>
      <w:r w:rsidRPr="008820DC">
        <w:rPr>
          <w:rFonts w:cs="Arial"/>
          <w:b/>
          <w:szCs w:val="22"/>
        </w:rPr>
        <w:t xml:space="preserve">Signed by the duly authorised representative of </w:t>
      </w:r>
      <w:r w:rsidR="00AC7B59">
        <w:rPr>
          <w:rFonts w:cs="Arial"/>
          <w:b/>
          <w:szCs w:val="22"/>
        </w:rPr>
        <w:t>BC FOUNDATION</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4E2A9F3C" w14:textId="77777777" w:rsidTr="00D112CD">
        <w:trPr>
          <w:cantSplit/>
          <w:trHeight w:val="20"/>
        </w:trPr>
        <w:tc>
          <w:tcPr>
            <w:tcW w:w="675" w:type="pct"/>
            <w:vAlign w:val="bottom"/>
          </w:tcPr>
          <w:p w14:paraId="7015F68E"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15A0A844"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4F63E3C9"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462680DE"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512917CA" w14:textId="77777777" w:rsidTr="00D112CD">
        <w:trPr>
          <w:cantSplit/>
          <w:trHeight w:val="20"/>
        </w:trPr>
        <w:tc>
          <w:tcPr>
            <w:tcW w:w="675" w:type="pct"/>
            <w:vAlign w:val="bottom"/>
          </w:tcPr>
          <w:p w14:paraId="542BB1CA" w14:textId="77777777" w:rsidR="00887A6C" w:rsidRPr="008820DC" w:rsidRDefault="00887A6C" w:rsidP="00C604F0">
            <w:pPr>
              <w:spacing w:line="276" w:lineRule="auto"/>
              <w:rPr>
                <w:rFonts w:cs="Arial"/>
                <w:szCs w:val="22"/>
              </w:rPr>
            </w:pPr>
            <w:r w:rsidRPr="008820DC">
              <w:rPr>
                <w:rFonts w:cs="Arial"/>
                <w:szCs w:val="22"/>
              </w:rPr>
              <w:t>Position:</w:t>
            </w:r>
          </w:p>
        </w:tc>
        <w:tc>
          <w:tcPr>
            <w:tcW w:w="1801" w:type="pct"/>
            <w:vAlign w:val="bottom"/>
          </w:tcPr>
          <w:p w14:paraId="2B5068ED" w14:textId="77777777" w:rsidR="00887A6C" w:rsidRPr="008820DC" w:rsidRDefault="00887A6C" w:rsidP="00C604F0">
            <w:pPr>
              <w:tabs>
                <w:tab w:val="left" w:leader="dot" w:pos="3222"/>
              </w:tabs>
              <w:spacing w:line="276" w:lineRule="auto"/>
              <w:rPr>
                <w:rFonts w:cs="Arial"/>
                <w:szCs w:val="22"/>
              </w:rPr>
            </w:pPr>
            <w:r w:rsidRPr="008820DC">
              <w:rPr>
                <w:rFonts w:cs="Arial"/>
                <w:szCs w:val="22"/>
              </w:rPr>
              <w:tab/>
            </w:r>
          </w:p>
        </w:tc>
        <w:tc>
          <w:tcPr>
            <w:tcW w:w="742" w:type="pct"/>
            <w:vAlign w:val="bottom"/>
          </w:tcPr>
          <w:p w14:paraId="46D61E12" w14:textId="77777777" w:rsidR="00887A6C" w:rsidRPr="008820DC" w:rsidRDefault="00887A6C" w:rsidP="00C604F0">
            <w:pPr>
              <w:spacing w:line="276" w:lineRule="auto"/>
              <w:rPr>
                <w:rFonts w:cs="Arial"/>
                <w:szCs w:val="22"/>
              </w:rPr>
            </w:pPr>
          </w:p>
        </w:tc>
        <w:tc>
          <w:tcPr>
            <w:tcW w:w="1782" w:type="pct"/>
            <w:vAlign w:val="bottom"/>
          </w:tcPr>
          <w:p w14:paraId="1F4C6771" w14:textId="77777777" w:rsidR="00887A6C" w:rsidRPr="008820DC" w:rsidRDefault="00887A6C" w:rsidP="00C604F0">
            <w:pPr>
              <w:tabs>
                <w:tab w:val="left" w:leader="dot" w:pos="3132"/>
              </w:tabs>
              <w:spacing w:line="276" w:lineRule="auto"/>
              <w:rPr>
                <w:rFonts w:cs="Arial"/>
                <w:szCs w:val="22"/>
              </w:rPr>
            </w:pPr>
          </w:p>
        </w:tc>
      </w:tr>
      <w:tr w:rsidR="00D112CD" w:rsidRPr="008820DC" w14:paraId="1C5FBC74" w14:textId="77777777" w:rsidTr="00D112CD">
        <w:trPr>
          <w:cantSplit/>
          <w:trHeight w:val="20"/>
        </w:trPr>
        <w:tc>
          <w:tcPr>
            <w:tcW w:w="675" w:type="pct"/>
            <w:vAlign w:val="bottom"/>
          </w:tcPr>
          <w:p w14:paraId="3C25D81A" w14:textId="2BB6F0EC" w:rsidR="00D112CD" w:rsidRPr="008820DC" w:rsidRDefault="00D112CD" w:rsidP="00D112CD">
            <w:pPr>
              <w:spacing w:line="276" w:lineRule="auto"/>
              <w:rPr>
                <w:rFonts w:cs="Arial"/>
                <w:szCs w:val="22"/>
              </w:rPr>
            </w:pPr>
            <w:r w:rsidRPr="008820DC">
              <w:rPr>
                <w:rFonts w:cs="Arial"/>
                <w:szCs w:val="22"/>
              </w:rPr>
              <w:t>Name:</w:t>
            </w:r>
          </w:p>
        </w:tc>
        <w:tc>
          <w:tcPr>
            <w:tcW w:w="1801" w:type="pct"/>
            <w:vAlign w:val="bottom"/>
          </w:tcPr>
          <w:p w14:paraId="12E02D19" w14:textId="2445512C" w:rsidR="00D112CD" w:rsidRPr="008820DC" w:rsidRDefault="00D112CD" w:rsidP="00D112CD">
            <w:pPr>
              <w:tabs>
                <w:tab w:val="left" w:leader="dot" w:pos="3222"/>
              </w:tabs>
              <w:spacing w:line="276" w:lineRule="auto"/>
              <w:rPr>
                <w:rFonts w:cs="Arial"/>
                <w:szCs w:val="22"/>
              </w:rPr>
            </w:pPr>
            <w:r w:rsidRPr="008820DC">
              <w:rPr>
                <w:rFonts w:cs="Arial"/>
                <w:szCs w:val="22"/>
              </w:rPr>
              <w:tab/>
            </w:r>
          </w:p>
        </w:tc>
        <w:tc>
          <w:tcPr>
            <w:tcW w:w="742" w:type="pct"/>
            <w:vAlign w:val="bottom"/>
          </w:tcPr>
          <w:p w14:paraId="3D2ECEC8" w14:textId="1247CABF" w:rsidR="00D112CD" w:rsidRPr="008820DC" w:rsidRDefault="00D112CD" w:rsidP="00D112CD">
            <w:pPr>
              <w:spacing w:line="276" w:lineRule="auto"/>
              <w:rPr>
                <w:rFonts w:cs="Arial"/>
                <w:szCs w:val="22"/>
              </w:rPr>
            </w:pPr>
            <w:r w:rsidRPr="008820DC">
              <w:rPr>
                <w:rFonts w:cs="Arial"/>
                <w:szCs w:val="22"/>
              </w:rPr>
              <w:t>Signature:</w:t>
            </w:r>
          </w:p>
        </w:tc>
        <w:tc>
          <w:tcPr>
            <w:tcW w:w="1782" w:type="pct"/>
            <w:vAlign w:val="bottom"/>
          </w:tcPr>
          <w:p w14:paraId="47BF990F" w14:textId="6739B8FB" w:rsidR="00D112CD" w:rsidRPr="008820DC" w:rsidRDefault="00D112CD" w:rsidP="00D112CD">
            <w:pPr>
              <w:tabs>
                <w:tab w:val="left" w:leader="dot" w:pos="3132"/>
              </w:tabs>
              <w:spacing w:line="276" w:lineRule="auto"/>
              <w:rPr>
                <w:rFonts w:cs="Arial"/>
                <w:szCs w:val="22"/>
              </w:rPr>
            </w:pPr>
            <w:r w:rsidRPr="008820DC">
              <w:rPr>
                <w:rFonts w:cs="Arial"/>
                <w:szCs w:val="22"/>
              </w:rPr>
              <w:tab/>
            </w:r>
          </w:p>
        </w:tc>
      </w:tr>
      <w:tr w:rsidR="00D112CD" w:rsidRPr="008820DC" w14:paraId="19BA0CD5" w14:textId="77777777" w:rsidTr="00D112CD">
        <w:trPr>
          <w:cantSplit/>
          <w:trHeight w:val="20"/>
        </w:trPr>
        <w:tc>
          <w:tcPr>
            <w:tcW w:w="675" w:type="pct"/>
            <w:vAlign w:val="bottom"/>
          </w:tcPr>
          <w:p w14:paraId="1FCD661D" w14:textId="2C7A6CD8" w:rsidR="00D112CD" w:rsidRPr="008820DC" w:rsidRDefault="00D112CD" w:rsidP="00D112CD">
            <w:pPr>
              <w:spacing w:line="276" w:lineRule="auto"/>
              <w:rPr>
                <w:rFonts w:cs="Arial"/>
                <w:szCs w:val="22"/>
              </w:rPr>
            </w:pPr>
            <w:r w:rsidRPr="008820DC">
              <w:rPr>
                <w:rFonts w:cs="Arial"/>
                <w:szCs w:val="22"/>
              </w:rPr>
              <w:t>Position:</w:t>
            </w:r>
          </w:p>
        </w:tc>
        <w:tc>
          <w:tcPr>
            <w:tcW w:w="1801" w:type="pct"/>
            <w:vAlign w:val="bottom"/>
          </w:tcPr>
          <w:p w14:paraId="25D33450" w14:textId="6FAE7761" w:rsidR="00D112CD" w:rsidRPr="008820DC" w:rsidRDefault="00D112CD" w:rsidP="00D112CD">
            <w:pPr>
              <w:tabs>
                <w:tab w:val="left" w:leader="dot" w:pos="3222"/>
              </w:tabs>
              <w:spacing w:line="276" w:lineRule="auto"/>
              <w:rPr>
                <w:rFonts w:cs="Arial"/>
                <w:szCs w:val="22"/>
              </w:rPr>
            </w:pPr>
            <w:r w:rsidRPr="008820DC">
              <w:rPr>
                <w:rFonts w:cs="Arial"/>
                <w:szCs w:val="22"/>
              </w:rPr>
              <w:tab/>
            </w:r>
          </w:p>
        </w:tc>
        <w:tc>
          <w:tcPr>
            <w:tcW w:w="742" w:type="pct"/>
            <w:vAlign w:val="bottom"/>
          </w:tcPr>
          <w:p w14:paraId="328AA95F" w14:textId="77777777" w:rsidR="00D112CD" w:rsidRPr="008820DC" w:rsidRDefault="00D112CD" w:rsidP="00D112CD">
            <w:pPr>
              <w:spacing w:line="276" w:lineRule="auto"/>
              <w:rPr>
                <w:rFonts w:cs="Arial"/>
                <w:szCs w:val="22"/>
              </w:rPr>
            </w:pPr>
          </w:p>
        </w:tc>
        <w:tc>
          <w:tcPr>
            <w:tcW w:w="1782" w:type="pct"/>
            <w:vAlign w:val="bottom"/>
          </w:tcPr>
          <w:p w14:paraId="0C905FDB" w14:textId="77777777" w:rsidR="00D112CD" w:rsidRPr="008820DC" w:rsidRDefault="00D112CD" w:rsidP="00D112CD">
            <w:pPr>
              <w:tabs>
                <w:tab w:val="left" w:leader="dot" w:pos="3132"/>
              </w:tabs>
              <w:spacing w:line="276" w:lineRule="auto"/>
              <w:rPr>
                <w:rFonts w:cs="Arial"/>
                <w:szCs w:val="22"/>
              </w:rPr>
            </w:pPr>
          </w:p>
        </w:tc>
      </w:tr>
    </w:tbl>
    <w:p w14:paraId="30829400" w14:textId="77777777" w:rsidR="00887A6C" w:rsidRPr="008820DC" w:rsidRDefault="00887A6C" w:rsidP="00C604F0">
      <w:pPr>
        <w:keepNext/>
        <w:spacing w:before="60" w:after="60" w:line="276" w:lineRule="auto"/>
        <w:rPr>
          <w:rFonts w:cs="Arial"/>
          <w:b/>
          <w:szCs w:val="22"/>
        </w:rPr>
      </w:pPr>
      <w:r w:rsidRPr="008820DC">
        <w:rPr>
          <w:rFonts w:cs="Arial"/>
          <w:b/>
          <w:szCs w:val="22"/>
        </w:rPr>
        <w:t xml:space="preserve">Signed by </w:t>
      </w:r>
      <w:r w:rsidRPr="00AC6DFD">
        <w:rPr>
          <w:rFonts w:cs="Arial"/>
          <w:b/>
          <w:szCs w:val="22"/>
          <w:highlight w:val="yellow"/>
        </w:rPr>
        <w:t>[</w:t>
      </w:r>
      <w:r w:rsidRPr="00AC6DFD">
        <w:rPr>
          <w:rFonts w:cs="Arial"/>
          <w:b/>
          <w:i/>
          <w:szCs w:val="22"/>
          <w:highlight w:val="yellow"/>
        </w:rPr>
        <w:t>insert name of Supplier</w:t>
      </w:r>
      <w:r w:rsidRPr="00AC6DFD">
        <w:rPr>
          <w:rFonts w:cs="Arial"/>
          <w:b/>
          <w:szCs w:val="22"/>
          <w:highlight w:val="yellow"/>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6D10DF96" w14:textId="77777777" w:rsidTr="00D112CD">
        <w:trPr>
          <w:cantSplit/>
          <w:trHeight w:val="20"/>
        </w:trPr>
        <w:tc>
          <w:tcPr>
            <w:tcW w:w="675" w:type="pct"/>
            <w:vAlign w:val="bottom"/>
          </w:tcPr>
          <w:p w14:paraId="1C7481E5"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3CA7E304"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0FBCEC78"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5DC86D2A"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1D4F7189" w14:textId="77777777" w:rsidTr="00D112CD">
        <w:trPr>
          <w:cantSplit/>
          <w:trHeight w:val="20"/>
        </w:trPr>
        <w:tc>
          <w:tcPr>
            <w:tcW w:w="675" w:type="pct"/>
            <w:vAlign w:val="bottom"/>
          </w:tcPr>
          <w:p w14:paraId="3B5E7CF2" w14:textId="77777777" w:rsidR="00887A6C" w:rsidRPr="008820DC" w:rsidRDefault="00887A6C" w:rsidP="00C604F0">
            <w:pPr>
              <w:keepNext/>
              <w:spacing w:line="276" w:lineRule="auto"/>
              <w:rPr>
                <w:rFonts w:cs="Arial"/>
                <w:szCs w:val="22"/>
              </w:rPr>
            </w:pPr>
            <w:r w:rsidRPr="008820DC">
              <w:rPr>
                <w:rFonts w:cs="Arial"/>
                <w:szCs w:val="22"/>
              </w:rPr>
              <w:t>Position:</w:t>
            </w:r>
          </w:p>
        </w:tc>
        <w:tc>
          <w:tcPr>
            <w:tcW w:w="1801" w:type="pct"/>
            <w:vAlign w:val="bottom"/>
          </w:tcPr>
          <w:p w14:paraId="32EC28B5"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28E26499" w14:textId="77777777" w:rsidR="00887A6C" w:rsidRPr="008820DC" w:rsidRDefault="00887A6C" w:rsidP="00C604F0">
            <w:pPr>
              <w:keepNext/>
              <w:spacing w:line="276" w:lineRule="auto"/>
              <w:rPr>
                <w:rFonts w:cs="Arial"/>
                <w:szCs w:val="22"/>
              </w:rPr>
            </w:pPr>
          </w:p>
        </w:tc>
        <w:tc>
          <w:tcPr>
            <w:tcW w:w="1782" w:type="pct"/>
            <w:vAlign w:val="bottom"/>
          </w:tcPr>
          <w:p w14:paraId="103A07F1" w14:textId="77777777" w:rsidR="00887A6C" w:rsidRPr="008820DC" w:rsidRDefault="00887A6C" w:rsidP="00C604F0">
            <w:pPr>
              <w:keepNext/>
              <w:tabs>
                <w:tab w:val="left" w:leader="dot" w:pos="3132"/>
              </w:tabs>
              <w:spacing w:line="276" w:lineRule="auto"/>
              <w:rPr>
                <w:rFonts w:cs="Arial"/>
                <w:szCs w:val="22"/>
              </w:rPr>
            </w:pPr>
          </w:p>
        </w:tc>
      </w:tr>
    </w:tbl>
    <w:p w14:paraId="0BC3451A" w14:textId="77777777" w:rsidR="008820DC" w:rsidRPr="008820DC" w:rsidRDefault="008820DC" w:rsidP="0049171F">
      <w:pPr>
        <w:pStyle w:val="MRSchedule1"/>
        <w:spacing w:before="60" w:after="160" w:line="276" w:lineRule="auto"/>
        <w:ind w:left="0"/>
        <w:rPr>
          <w:rFonts w:cs="Arial"/>
          <w:bCs/>
          <w:szCs w:val="22"/>
        </w:rPr>
      </w:pPr>
      <w:bookmarkStart w:id="0" w:name="_Toc207776231"/>
      <w:bookmarkStart w:id="1" w:name="Schedule1"/>
      <w:bookmarkStart w:id="2" w:name="_Ref511915619"/>
      <w:bookmarkEnd w:id="0"/>
      <w:bookmarkEnd w:id="1"/>
      <w:r>
        <w:rPr>
          <w:rFonts w:cs="Arial"/>
          <w:b w:val="0"/>
          <w:szCs w:val="22"/>
        </w:rPr>
        <w:br w:type="page"/>
      </w:r>
      <w:bookmarkEnd w:id="2"/>
    </w:p>
    <w:p w14:paraId="5D3EAFFD" w14:textId="77777777" w:rsidR="001B3A79" w:rsidRPr="007E3376" w:rsidRDefault="001B3A79" w:rsidP="0049171F">
      <w:pPr>
        <w:pStyle w:val="MRSchedule1"/>
        <w:numPr>
          <w:ilvl w:val="0"/>
          <w:numId w:val="0"/>
        </w:numPr>
        <w:spacing w:before="60" w:after="160" w:line="276" w:lineRule="auto"/>
        <w:rPr>
          <w:rFonts w:cs="Arial"/>
          <w:szCs w:val="22"/>
        </w:rPr>
      </w:pPr>
      <w:r w:rsidRPr="007E3376">
        <w:rPr>
          <w:rFonts w:cs="Arial"/>
          <w:szCs w:val="22"/>
        </w:rPr>
        <w:lastRenderedPageBreak/>
        <w:t>Schedule 1</w:t>
      </w:r>
    </w:p>
    <w:p w14:paraId="48F269EE" w14:textId="77777777" w:rsidR="00887A6C" w:rsidRPr="008820DC" w:rsidRDefault="00887A6C" w:rsidP="0049171F">
      <w:pPr>
        <w:pStyle w:val="MRSchedule1"/>
        <w:numPr>
          <w:ilvl w:val="0"/>
          <w:numId w:val="0"/>
        </w:numPr>
        <w:spacing w:before="60" w:after="160" w:line="276" w:lineRule="auto"/>
        <w:rPr>
          <w:rFonts w:cs="Arial"/>
          <w:b w:val="0"/>
          <w:szCs w:val="22"/>
        </w:rPr>
      </w:pPr>
      <w:r w:rsidRPr="008820DC">
        <w:rPr>
          <w:rFonts w:cs="Arial"/>
          <w:b w:val="0"/>
          <w:szCs w:val="22"/>
        </w:rPr>
        <w:t>Special Terms</w:t>
      </w:r>
    </w:p>
    <w:p w14:paraId="16D6B451"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45D04DA2"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633F2142" w14:textId="6B24CB76"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 xml:space="preserve">For the purposes of the provision of the Services and any Goods, the terms of this Agreement shall prevail over any other terms and conditions issued by the </w:t>
      </w:r>
      <w:r w:rsidR="00AC7B59">
        <w:rPr>
          <w:rFonts w:cs="Arial"/>
          <w:szCs w:val="22"/>
        </w:rPr>
        <w:t>BCF</w:t>
      </w:r>
      <w:r w:rsidRPr="008820DC">
        <w:rPr>
          <w:rFonts w:cs="Arial"/>
          <w:szCs w:val="22"/>
        </w:rPr>
        <w:t xml:space="preserve"> (whether on a purchase order or otherwise).</w:t>
      </w:r>
    </w:p>
    <w:p w14:paraId="07EBBFEA" w14:textId="77777777" w:rsidR="00887A6C" w:rsidRPr="008820DC" w:rsidRDefault="00887A6C" w:rsidP="0049171F">
      <w:pPr>
        <w:pStyle w:val="MRheading1"/>
        <w:spacing w:before="60" w:after="160" w:line="276" w:lineRule="auto"/>
        <w:rPr>
          <w:rFonts w:cs="Arial"/>
          <w:szCs w:val="22"/>
        </w:rPr>
      </w:pPr>
      <w:r w:rsidRPr="008820DC">
        <w:rPr>
          <w:rFonts w:cs="Arial"/>
          <w:szCs w:val="22"/>
        </w:rPr>
        <w:t>Commencement Date and Term</w:t>
      </w:r>
    </w:p>
    <w:p w14:paraId="7A2E2CCD" w14:textId="4175B976"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shall come into force on </w:t>
      </w:r>
      <w:r w:rsidR="00D112CD">
        <w:rPr>
          <w:rFonts w:cs="Arial"/>
          <w:b/>
          <w:szCs w:val="22"/>
        </w:rPr>
        <w:t>11 October 2021</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2C33C4">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00D112CD">
        <w:rPr>
          <w:rFonts w:cs="Arial"/>
          <w:b/>
          <w:szCs w:val="22"/>
        </w:rPr>
        <w:t>3</w:t>
      </w:r>
      <w:r w:rsidR="0093042E">
        <w:rPr>
          <w:rFonts w:cs="Arial"/>
          <w:b/>
          <w:szCs w:val="22"/>
        </w:rPr>
        <w:t>0</w:t>
      </w:r>
      <w:r w:rsidR="00D112CD">
        <w:rPr>
          <w:rFonts w:cs="Arial"/>
          <w:b/>
          <w:szCs w:val="22"/>
        </w:rPr>
        <w:t xml:space="preserve"> </w:t>
      </w:r>
      <w:r w:rsidR="0093042E">
        <w:rPr>
          <w:rFonts w:cs="Arial"/>
          <w:b/>
          <w:szCs w:val="22"/>
        </w:rPr>
        <w:t xml:space="preserve">June </w:t>
      </w:r>
      <w:r w:rsidR="00D112CD">
        <w:rPr>
          <w:rFonts w:cs="Arial"/>
          <w:b/>
          <w:szCs w:val="22"/>
        </w:rPr>
        <w:t>202</w:t>
      </w:r>
      <w:r w:rsidR="00AC7B59">
        <w:rPr>
          <w:rFonts w:cs="Arial"/>
          <w:b/>
          <w:szCs w:val="22"/>
        </w:rPr>
        <w:t>2</w:t>
      </w:r>
      <w:r w:rsidRPr="008820DC">
        <w:rPr>
          <w:rFonts w:cs="Arial"/>
          <w:b/>
          <w:szCs w:val="22"/>
        </w:rPr>
        <w:t xml:space="preserve"> </w:t>
      </w:r>
      <w:r w:rsidRPr="008820DC">
        <w:rPr>
          <w:rFonts w:cs="Arial"/>
          <w:szCs w:val="22"/>
        </w:rPr>
        <w:t>(the “</w:t>
      </w:r>
      <w:r w:rsidRPr="008820DC">
        <w:rPr>
          <w:rFonts w:cs="Arial"/>
          <w:b/>
          <w:szCs w:val="22"/>
        </w:rPr>
        <w:t>Term</w:t>
      </w:r>
      <w:r w:rsidRPr="008820DC">
        <w:rPr>
          <w:rFonts w:cs="Arial"/>
          <w:szCs w:val="22"/>
        </w:rPr>
        <w:t>”).</w:t>
      </w:r>
    </w:p>
    <w:p w14:paraId="5879A889" w14:textId="1B8560D5" w:rsidR="00887A6C" w:rsidRPr="008820DC" w:rsidRDefault="00887A6C" w:rsidP="0049171F">
      <w:pPr>
        <w:pStyle w:val="MRheading2"/>
        <w:spacing w:before="60" w:after="160" w:line="276" w:lineRule="auto"/>
        <w:rPr>
          <w:rFonts w:cs="Arial"/>
          <w:szCs w:val="22"/>
        </w:rPr>
      </w:pPr>
      <w:bookmarkStart w:id="3" w:name="_Ref266438256"/>
      <w:r w:rsidRPr="008820DC">
        <w:rPr>
          <w:rFonts w:cs="Arial"/>
          <w:szCs w:val="22"/>
        </w:rPr>
        <w:t xml:space="preserve">Notwithstanding anything to the contrary elsewhere in this Agreement, the </w:t>
      </w:r>
      <w:r w:rsidR="00AC7B59">
        <w:rPr>
          <w:rFonts w:cs="Arial"/>
          <w:szCs w:val="22"/>
        </w:rPr>
        <w:t>BCF</w:t>
      </w:r>
      <w:r w:rsidRPr="008820DC">
        <w:rPr>
          <w:rFonts w:cs="Arial"/>
          <w:szCs w:val="22"/>
        </w:rPr>
        <w:t xml:space="preserve"> shall be entitled to terminate this Agreement by serving not less tha</w:t>
      </w:r>
      <w:r w:rsidRPr="00D112CD">
        <w:rPr>
          <w:rFonts w:cs="Arial"/>
          <w:szCs w:val="22"/>
        </w:rPr>
        <w:t xml:space="preserve">n </w:t>
      </w:r>
      <w:r w:rsidR="00D112CD" w:rsidRPr="00D112CD">
        <w:rPr>
          <w:rFonts w:cs="Arial"/>
          <w:szCs w:val="22"/>
        </w:rPr>
        <w:t>30</w:t>
      </w:r>
      <w:r w:rsidRPr="008820DC">
        <w:rPr>
          <w:rFonts w:cs="Arial"/>
          <w:b/>
          <w:szCs w:val="22"/>
        </w:rPr>
        <w:t xml:space="preserve"> </w:t>
      </w:r>
      <w:r w:rsidRPr="008820DC">
        <w:rPr>
          <w:rFonts w:cs="Arial"/>
          <w:szCs w:val="22"/>
        </w:rPr>
        <w:t>days’ written notice on the Supplier.</w:t>
      </w:r>
      <w:bookmarkEnd w:id="3"/>
    </w:p>
    <w:p w14:paraId="68928C80" w14:textId="77777777" w:rsidR="00AC7B59" w:rsidRDefault="00AC7B59" w:rsidP="00AC7B59">
      <w:pPr>
        <w:pStyle w:val="MRheading1"/>
        <w:spacing w:before="60" w:after="160" w:line="276" w:lineRule="auto"/>
        <w:rPr>
          <w:rFonts w:cs="Arial"/>
          <w:szCs w:val="22"/>
        </w:rPr>
      </w:pPr>
      <w:r>
        <w:rPr>
          <w:rFonts w:cs="Arial"/>
          <w:szCs w:val="22"/>
        </w:rPr>
        <w:t>End Client</w:t>
      </w:r>
    </w:p>
    <w:p w14:paraId="592507DB" w14:textId="11890C45" w:rsidR="00AC7B59" w:rsidRPr="00214122" w:rsidRDefault="00C02322" w:rsidP="00C02322">
      <w:pPr>
        <w:pStyle w:val="MRheading1"/>
        <w:numPr>
          <w:ilvl w:val="0"/>
          <w:numId w:val="0"/>
        </w:numPr>
        <w:spacing w:before="60" w:after="160" w:line="276" w:lineRule="auto"/>
        <w:rPr>
          <w:rFonts w:cs="Arial"/>
          <w:b w:val="0"/>
          <w:bCs/>
          <w:szCs w:val="22"/>
          <w:u w:val="none"/>
        </w:rPr>
      </w:pPr>
      <w:r>
        <w:rPr>
          <w:rFonts w:cs="Arial"/>
          <w:b w:val="0"/>
          <w:bCs/>
          <w:szCs w:val="22"/>
          <w:u w:val="none"/>
        </w:rPr>
        <w:t>2.1</w:t>
      </w:r>
      <w:r>
        <w:rPr>
          <w:rFonts w:cs="Arial"/>
          <w:b w:val="0"/>
          <w:bCs/>
          <w:szCs w:val="22"/>
          <w:u w:val="none"/>
        </w:rPr>
        <w:tab/>
      </w:r>
      <w:r w:rsidR="00AC7B59" w:rsidRPr="00214122">
        <w:rPr>
          <w:rFonts w:cs="Arial"/>
          <w:b w:val="0"/>
          <w:bCs/>
          <w:szCs w:val="22"/>
          <w:u w:val="none"/>
        </w:rPr>
        <w:t>Not Applicable</w:t>
      </w:r>
    </w:p>
    <w:p w14:paraId="1F3C28BF" w14:textId="77777777" w:rsidR="00AC7B59" w:rsidRDefault="00AC7B59" w:rsidP="00AC7B59">
      <w:pPr>
        <w:pStyle w:val="MRheading1"/>
        <w:spacing w:before="60" w:after="160" w:line="276" w:lineRule="auto"/>
        <w:rPr>
          <w:rFonts w:cs="Arial"/>
          <w:szCs w:val="22"/>
        </w:rPr>
      </w:pPr>
      <w:r>
        <w:rPr>
          <w:rFonts w:cs="Arial"/>
          <w:szCs w:val="22"/>
        </w:rPr>
        <w:t>Locations</w:t>
      </w:r>
    </w:p>
    <w:p w14:paraId="61F3E43A" w14:textId="565A1222" w:rsidR="00AC7B59" w:rsidRPr="00EB27F8" w:rsidRDefault="00AC7B59" w:rsidP="00AC7B59">
      <w:pPr>
        <w:pStyle w:val="MRheading1"/>
        <w:numPr>
          <w:ilvl w:val="0"/>
          <w:numId w:val="0"/>
        </w:numPr>
        <w:spacing w:before="60" w:after="160" w:line="276" w:lineRule="auto"/>
        <w:ind w:left="720" w:hanging="720"/>
        <w:rPr>
          <w:rFonts w:cs="Arial"/>
          <w:b w:val="0"/>
          <w:szCs w:val="22"/>
          <w:u w:val="none"/>
        </w:rPr>
      </w:pPr>
      <w:r>
        <w:rPr>
          <w:rFonts w:cs="Arial"/>
          <w:b w:val="0"/>
          <w:szCs w:val="22"/>
          <w:u w:val="none"/>
        </w:rPr>
        <w:t>3.1</w:t>
      </w:r>
      <w:r>
        <w:rPr>
          <w:rFonts w:cs="Arial"/>
          <w:b w:val="0"/>
          <w:szCs w:val="22"/>
          <w:u w:val="none"/>
        </w:rPr>
        <w:tab/>
      </w:r>
      <w:r w:rsidRPr="00EB27F8">
        <w:rPr>
          <w:rFonts w:cs="Arial"/>
          <w:b w:val="0"/>
          <w:szCs w:val="22"/>
          <w:u w:val="none"/>
        </w:rPr>
        <w:t>The Supplier will be required to provide Services in Thailand and the U</w:t>
      </w:r>
      <w:r>
        <w:rPr>
          <w:rFonts w:cs="Arial"/>
          <w:b w:val="0"/>
          <w:szCs w:val="22"/>
          <w:u w:val="none"/>
        </w:rPr>
        <w:t>nited Kingdom (the “</w:t>
      </w:r>
      <w:r w:rsidRPr="00D87FF6">
        <w:rPr>
          <w:rFonts w:cs="Arial"/>
          <w:bCs/>
          <w:szCs w:val="22"/>
          <w:u w:val="none"/>
        </w:rPr>
        <w:t>Location(s)</w:t>
      </w:r>
      <w:r>
        <w:rPr>
          <w:rFonts w:cs="Arial"/>
          <w:b w:val="0"/>
          <w:szCs w:val="22"/>
          <w:u w:val="none"/>
        </w:rPr>
        <w:t xml:space="preserve">”. </w:t>
      </w:r>
    </w:p>
    <w:p w14:paraId="50ADCC51" w14:textId="77777777" w:rsidR="00AC7B59" w:rsidRDefault="00AC7B59" w:rsidP="00AC7B59">
      <w:pPr>
        <w:pStyle w:val="MRheading1"/>
        <w:spacing w:before="60" w:after="160" w:line="276" w:lineRule="auto"/>
        <w:rPr>
          <w:rFonts w:cs="Arial"/>
          <w:szCs w:val="22"/>
        </w:rPr>
      </w:pPr>
      <w:r>
        <w:rPr>
          <w:rFonts w:cs="Arial"/>
          <w:szCs w:val="22"/>
        </w:rPr>
        <w:t>Equipment</w:t>
      </w:r>
    </w:p>
    <w:p w14:paraId="3EF7BCA2" w14:textId="1D9BEFE7" w:rsidR="00AC7B59" w:rsidRPr="00AC7B59" w:rsidRDefault="0093042E" w:rsidP="0093042E">
      <w:pPr>
        <w:pStyle w:val="MRheading1"/>
        <w:numPr>
          <w:ilvl w:val="0"/>
          <w:numId w:val="0"/>
        </w:numPr>
        <w:spacing w:before="60" w:after="160" w:line="276" w:lineRule="auto"/>
        <w:rPr>
          <w:rFonts w:cs="Arial"/>
          <w:b w:val="0"/>
          <w:bCs/>
          <w:szCs w:val="22"/>
          <w:u w:val="none"/>
        </w:rPr>
      </w:pPr>
      <w:r>
        <w:rPr>
          <w:rFonts w:cs="Arial"/>
          <w:b w:val="0"/>
          <w:bCs/>
          <w:szCs w:val="22"/>
          <w:u w:val="none"/>
        </w:rPr>
        <w:t>4.1</w:t>
      </w:r>
      <w:r>
        <w:rPr>
          <w:rFonts w:cs="Arial"/>
          <w:b w:val="0"/>
          <w:bCs/>
          <w:szCs w:val="22"/>
          <w:u w:val="none"/>
        </w:rPr>
        <w:tab/>
      </w:r>
      <w:r w:rsidR="00AC7B59" w:rsidRPr="00952B6F">
        <w:rPr>
          <w:rFonts w:cs="Arial"/>
          <w:b w:val="0"/>
          <w:bCs/>
          <w:szCs w:val="22"/>
          <w:u w:val="none"/>
        </w:rPr>
        <w:t>Not Applicable</w:t>
      </w:r>
    </w:p>
    <w:p w14:paraId="4E43778B" w14:textId="7D9E5A36" w:rsidR="00887A6C" w:rsidRPr="008820DC" w:rsidRDefault="00887A6C" w:rsidP="0049171F">
      <w:pPr>
        <w:pStyle w:val="MRheading1"/>
        <w:spacing w:before="60" w:after="160" w:line="276" w:lineRule="auto"/>
        <w:rPr>
          <w:rFonts w:cs="Arial"/>
          <w:szCs w:val="22"/>
        </w:rPr>
      </w:pPr>
      <w:r w:rsidRPr="008820DC">
        <w:rPr>
          <w:rFonts w:cs="Arial"/>
          <w:szCs w:val="22"/>
        </w:rPr>
        <w:t>Key Personnel</w:t>
      </w:r>
    </w:p>
    <w:p w14:paraId="04479407" w14:textId="4B600C1E" w:rsidR="00887A6C" w:rsidRDefault="00887A6C" w:rsidP="0049171F">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0B13D2">
        <w:rPr>
          <w:rFonts w:cs="Arial"/>
          <w:b/>
          <w:szCs w:val="22"/>
          <w:highlight w:val="yellow"/>
        </w:rPr>
        <w:t>[</w:t>
      </w:r>
      <w:r w:rsidRPr="000B13D2">
        <w:rPr>
          <w:rFonts w:cs="Arial"/>
          <w:b/>
          <w:i/>
          <w:szCs w:val="22"/>
          <w:highlight w:val="yellow"/>
        </w:rPr>
        <w:t xml:space="preserve">insert </w:t>
      </w:r>
      <w:r w:rsidR="00AC7B59" w:rsidRPr="000B13D2">
        <w:rPr>
          <w:rFonts w:cs="Arial"/>
          <w:b/>
          <w:i/>
          <w:szCs w:val="22"/>
          <w:highlight w:val="yellow"/>
        </w:rPr>
        <w:t xml:space="preserve">names, telephone number, and email of the Key </w:t>
      </w:r>
      <w:proofErr w:type="spellStart"/>
      <w:r w:rsidR="00AC7B59" w:rsidRPr="000B13D2">
        <w:rPr>
          <w:rFonts w:cs="Arial"/>
          <w:b/>
          <w:i/>
          <w:szCs w:val="22"/>
          <w:highlight w:val="yellow"/>
        </w:rPr>
        <w:t>Personel</w:t>
      </w:r>
      <w:proofErr w:type="spellEnd"/>
      <w:r w:rsidRPr="000B13D2">
        <w:rPr>
          <w:rFonts w:cs="Arial"/>
          <w:b/>
          <w:szCs w:val="22"/>
          <w:highlight w:val="yellow"/>
        </w:rPr>
        <w:t>]</w:t>
      </w:r>
      <w:r w:rsidRPr="008820DC">
        <w:rPr>
          <w:rFonts w:cs="Arial"/>
          <w:szCs w:val="22"/>
        </w:rPr>
        <w:t xml:space="preserve"> (the “</w:t>
      </w:r>
      <w:r w:rsidRPr="008820DC">
        <w:rPr>
          <w:rFonts w:cs="Arial"/>
          <w:b/>
          <w:szCs w:val="22"/>
        </w:rPr>
        <w:t>Key Personnel</w:t>
      </w:r>
      <w:r w:rsidRPr="008820DC">
        <w:rPr>
          <w:rFonts w:cs="Arial"/>
          <w:szCs w:val="22"/>
        </w:rPr>
        <w:t>”).</w:t>
      </w:r>
    </w:p>
    <w:p w14:paraId="1118CDD3" w14:textId="77777777" w:rsidR="00AC7B59" w:rsidRPr="0095305B" w:rsidRDefault="00AC7B59" w:rsidP="00AC7B59">
      <w:pPr>
        <w:pStyle w:val="MRheading1"/>
        <w:spacing w:before="60" w:after="160" w:line="276" w:lineRule="auto"/>
        <w:rPr>
          <w:rFonts w:cs="Arial"/>
          <w:szCs w:val="22"/>
        </w:rPr>
      </w:pPr>
      <w:r w:rsidRPr="0095305B">
        <w:rPr>
          <w:rFonts w:cs="Arial"/>
          <w:szCs w:val="22"/>
        </w:rPr>
        <w:t>Service of notices</w:t>
      </w:r>
    </w:p>
    <w:p w14:paraId="7F9CC9DA" w14:textId="77777777" w:rsidR="00AC7B59" w:rsidRPr="0095305B" w:rsidRDefault="00AC7B59" w:rsidP="00AC7B59">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Pr>
          <w:rFonts w:cs="Arial"/>
          <w:szCs w:val="22"/>
        </w:rPr>
      </w:r>
      <w:r>
        <w:rPr>
          <w:rFonts w:cs="Arial"/>
          <w:szCs w:val="22"/>
        </w:rPr>
        <w:fldChar w:fldCharType="separate"/>
      </w:r>
      <w:r>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762"/>
      </w:tblGrid>
      <w:tr w:rsidR="00AC7B59" w14:paraId="131387AC" w14:textId="77777777" w:rsidTr="00CE659B">
        <w:tc>
          <w:tcPr>
            <w:tcW w:w="2357" w:type="pct"/>
            <w:shd w:val="clear" w:color="auto" w:fill="auto"/>
          </w:tcPr>
          <w:p w14:paraId="3CF8A4DC" w14:textId="77777777" w:rsidR="00AC7B59" w:rsidRPr="0095305B" w:rsidRDefault="00AC7B59" w:rsidP="00CE659B">
            <w:pPr>
              <w:spacing w:before="60" w:after="160" w:line="276" w:lineRule="auto"/>
              <w:outlineLvl w:val="1"/>
              <w:rPr>
                <w:rFonts w:cs="Arial"/>
                <w:szCs w:val="24"/>
              </w:rPr>
            </w:pPr>
            <w:r w:rsidRPr="0095305B">
              <w:rPr>
                <w:rFonts w:cs="Arial"/>
                <w:szCs w:val="24"/>
              </w:rPr>
              <w:t>To the British Council</w:t>
            </w:r>
          </w:p>
        </w:tc>
        <w:tc>
          <w:tcPr>
            <w:tcW w:w="2643" w:type="pct"/>
            <w:shd w:val="clear" w:color="auto" w:fill="auto"/>
          </w:tcPr>
          <w:p w14:paraId="29D95EB8" w14:textId="77777777" w:rsidR="00AC7B59" w:rsidRPr="00CB16D0" w:rsidRDefault="00AC7B59" w:rsidP="00CE659B">
            <w:pPr>
              <w:pStyle w:val="MRheading1"/>
              <w:numPr>
                <w:ilvl w:val="0"/>
                <w:numId w:val="0"/>
              </w:numPr>
              <w:spacing w:before="60" w:after="160" w:line="276" w:lineRule="auto"/>
              <w:rPr>
                <w:rFonts w:cs="Arial"/>
              </w:rPr>
            </w:pPr>
            <w:r w:rsidRPr="0032698D">
              <w:rPr>
                <w:rFonts w:cs="Arial"/>
                <w:b w:val="0"/>
                <w:szCs w:val="24"/>
                <w:u w:val="none"/>
              </w:rPr>
              <w:t xml:space="preserve">To the </w:t>
            </w:r>
            <w:r>
              <w:rPr>
                <w:rFonts w:cs="Arial"/>
                <w:b w:val="0"/>
                <w:szCs w:val="24"/>
                <w:u w:val="none"/>
              </w:rPr>
              <w:t>Supplier</w:t>
            </w:r>
          </w:p>
        </w:tc>
      </w:tr>
      <w:tr w:rsidR="00AC7B59" w14:paraId="51F9AD8D" w14:textId="77777777" w:rsidTr="00CE659B">
        <w:tc>
          <w:tcPr>
            <w:tcW w:w="2357" w:type="pct"/>
            <w:shd w:val="clear" w:color="auto" w:fill="auto"/>
          </w:tcPr>
          <w:p w14:paraId="6F488841" w14:textId="77777777" w:rsidR="00AC7B59" w:rsidRPr="00D112CD" w:rsidRDefault="00AC7B59" w:rsidP="00CE659B">
            <w:pPr>
              <w:pStyle w:val="MRheading2"/>
              <w:numPr>
                <w:ilvl w:val="0"/>
                <w:numId w:val="0"/>
              </w:numPr>
              <w:spacing w:before="60" w:after="160" w:line="276" w:lineRule="auto"/>
              <w:jc w:val="left"/>
              <w:rPr>
                <w:rFonts w:cs="Arial"/>
                <w:b/>
                <w:szCs w:val="22"/>
              </w:rPr>
            </w:pPr>
            <w:r w:rsidRPr="00D112CD">
              <w:rPr>
                <w:rFonts w:cs="Arial"/>
                <w:b/>
                <w:szCs w:val="22"/>
              </w:rPr>
              <w:t xml:space="preserve">BC Foundation, </w:t>
            </w:r>
            <w:r w:rsidRPr="00D112CD">
              <w:rPr>
                <w:rFonts w:cs="Arial"/>
                <w:bCs/>
                <w:szCs w:val="22"/>
              </w:rPr>
              <w:t xml:space="preserve">No. 254 </w:t>
            </w:r>
            <w:proofErr w:type="spellStart"/>
            <w:r w:rsidRPr="00D112CD">
              <w:rPr>
                <w:rFonts w:cs="Arial"/>
                <w:bCs/>
                <w:szCs w:val="22"/>
              </w:rPr>
              <w:t>Wittayakit</w:t>
            </w:r>
            <w:proofErr w:type="spellEnd"/>
            <w:r w:rsidRPr="00D112CD">
              <w:rPr>
                <w:rFonts w:cs="Arial"/>
                <w:bCs/>
                <w:szCs w:val="22"/>
              </w:rPr>
              <w:t xml:space="preserve"> Building, Chulalongkorn </w:t>
            </w:r>
            <w:proofErr w:type="spellStart"/>
            <w:r w:rsidRPr="00D112CD">
              <w:rPr>
                <w:rFonts w:cs="Arial"/>
                <w:bCs/>
                <w:szCs w:val="22"/>
              </w:rPr>
              <w:t>Soi</w:t>
            </w:r>
            <w:proofErr w:type="spellEnd"/>
            <w:r w:rsidRPr="00D112CD">
              <w:rPr>
                <w:rFonts w:cs="Arial"/>
                <w:bCs/>
                <w:szCs w:val="22"/>
              </w:rPr>
              <w:t xml:space="preserve"> 64, Siam Square, </w:t>
            </w:r>
            <w:proofErr w:type="spellStart"/>
            <w:r w:rsidRPr="00D112CD">
              <w:rPr>
                <w:rFonts w:cs="Arial"/>
                <w:bCs/>
                <w:szCs w:val="22"/>
              </w:rPr>
              <w:t>Phyathai</w:t>
            </w:r>
            <w:proofErr w:type="spellEnd"/>
            <w:r w:rsidRPr="00D112CD">
              <w:rPr>
                <w:rFonts w:cs="Arial"/>
                <w:bCs/>
                <w:szCs w:val="22"/>
              </w:rPr>
              <w:t xml:space="preserve"> Road, </w:t>
            </w:r>
            <w:proofErr w:type="spellStart"/>
            <w:r w:rsidRPr="00D112CD">
              <w:rPr>
                <w:rFonts w:cs="Arial"/>
                <w:bCs/>
                <w:szCs w:val="22"/>
              </w:rPr>
              <w:t>Kwaeng</w:t>
            </w:r>
            <w:proofErr w:type="spellEnd"/>
            <w:r w:rsidRPr="00D112CD">
              <w:rPr>
                <w:rFonts w:cs="Arial"/>
                <w:bCs/>
                <w:szCs w:val="22"/>
              </w:rPr>
              <w:t xml:space="preserve"> </w:t>
            </w:r>
            <w:proofErr w:type="spellStart"/>
            <w:r w:rsidRPr="00D112CD">
              <w:rPr>
                <w:rFonts w:cs="Arial"/>
                <w:bCs/>
                <w:szCs w:val="22"/>
              </w:rPr>
              <w:t>Wangmai</w:t>
            </w:r>
            <w:proofErr w:type="spellEnd"/>
            <w:r w:rsidRPr="00D112CD">
              <w:rPr>
                <w:rFonts w:cs="Arial"/>
                <w:bCs/>
                <w:szCs w:val="22"/>
              </w:rPr>
              <w:t xml:space="preserve">, Khet </w:t>
            </w:r>
            <w:proofErr w:type="spellStart"/>
            <w:r w:rsidRPr="00D112CD">
              <w:rPr>
                <w:rFonts w:cs="Arial"/>
                <w:bCs/>
                <w:szCs w:val="22"/>
              </w:rPr>
              <w:t>Pathumwan</w:t>
            </w:r>
            <w:proofErr w:type="spellEnd"/>
            <w:r w:rsidRPr="00D112CD">
              <w:rPr>
                <w:rFonts w:cs="Arial"/>
                <w:bCs/>
                <w:szCs w:val="22"/>
              </w:rPr>
              <w:t>, Bangkok, Thailand 10330.</w:t>
            </w:r>
            <w:r w:rsidRPr="00D112CD">
              <w:rPr>
                <w:rFonts w:cs="Arial"/>
                <w:b/>
                <w:szCs w:val="22"/>
              </w:rPr>
              <w:t xml:space="preserve"> </w:t>
            </w:r>
          </w:p>
          <w:p w14:paraId="4CA01D59" w14:textId="77777777" w:rsidR="00AC7B59" w:rsidRPr="00D112CD" w:rsidRDefault="00AC7B59" w:rsidP="00CE659B">
            <w:pPr>
              <w:pStyle w:val="MRheading1"/>
              <w:numPr>
                <w:ilvl w:val="0"/>
                <w:numId w:val="0"/>
              </w:numPr>
              <w:spacing w:before="60" w:after="160" w:line="276" w:lineRule="auto"/>
              <w:rPr>
                <w:rFonts w:cs="Arial"/>
                <w:szCs w:val="24"/>
                <w:u w:val="none"/>
              </w:rPr>
            </w:pPr>
            <w:r w:rsidRPr="00D112CD">
              <w:rPr>
                <w:rFonts w:cs="Arial"/>
                <w:bCs/>
                <w:szCs w:val="22"/>
                <w:u w:val="none"/>
              </w:rPr>
              <w:lastRenderedPageBreak/>
              <w:t>Attention:</w:t>
            </w:r>
            <w:r w:rsidRPr="00D112CD">
              <w:rPr>
                <w:rFonts w:cs="Arial"/>
                <w:b w:val="0"/>
                <w:szCs w:val="22"/>
                <w:u w:val="none"/>
              </w:rPr>
              <w:t xml:space="preserve"> </w:t>
            </w:r>
            <w:r w:rsidRPr="00D112CD">
              <w:rPr>
                <w:rFonts w:cs="Arial"/>
                <w:b w:val="0"/>
                <w:iCs/>
                <w:szCs w:val="22"/>
                <w:u w:val="none"/>
              </w:rPr>
              <w:t>Miss Thidaporn Wareenin, Programme Manager</w:t>
            </w:r>
          </w:p>
        </w:tc>
        <w:tc>
          <w:tcPr>
            <w:tcW w:w="2643" w:type="pct"/>
            <w:shd w:val="clear" w:color="auto" w:fill="auto"/>
          </w:tcPr>
          <w:p w14:paraId="3592C35D" w14:textId="77777777" w:rsidR="00AC7B59" w:rsidRPr="000B13D2" w:rsidRDefault="00AC7B59" w:rsidP="00CE659B">
            <w:pPr>
              <w:pStyle w:val="MRheading1"/>
              <w:numPr>
                <w:ilvl w:val="0"/>
                <w:numId w:val="0"/>
              </w:numPr>
              <w:spacing w:before="60" w:line="276" w:lineRule="auto"/>
              <w:rPr>
                <w:rFonts w:cs="Arial"/>
                <w:highlight w:val="yellow"/>
              </w:rPr>
            </w:pPr>
            <w:r w:rsidRPr="000B13D2">
              <w:rPr>
                <w:rFonts w:cs="Arial"/>
                <w:highlight w:val="yellow"/>
              </w:rPr>
              <w:lastRenderedPageBreak/>
              <w:t>[</w:t>
            </w:r>
            <w:r w:rsidRPr="000B13D2">
              <w:rPr>
                <w:rFonts w:cs="Arial"/>
                <w:i/>
                <w:highlight w:val="yellow"/>
              </w:rPr>
              <w:t>Insert address</w:t>
            </w:r>
            <w:r w:rsidRPr="000B13D2">
              <w:rPr>
                <w:rFonts w:cs="Arial"/>
                <w:highlight w:val="yellow"/>
              </w:rPr>
              <w:t>]</w:t>
            </w:r>
          </w:p>
          <w:p w14:paraId="5A5D8D11" w14:textId="77777777" w:rsidR="00AC7B59" w:rsidRPr="0049171F" w:rsidRDefault="00AC7B59" w:rsidP="00CE659B">
            <w:pPr>
              <w:pStyle w:val="MRheading1"/>
              <w:numPr>
                <w:ilvl w:val="0"/>
                <w:numId w:val="0"/>
              </w:numPr>
              <w:spacing w:before="60" w:line="276" w:lineRule="auto"/>
              <w:rPr>
                <w:rFonts w:cs="Arial"/>
              </w:rPr>
            </w:pPr>
            <w:r w:rsidRPr="000B13D2">
              <w:rPr>
                <w:rFonts w:cs="Arial"/>
                <w:highlight w:val="yellow"/>
              </w:rPr>
              <w:t>[</w:t>
            </w:r>
            <w:r w:rsidRPr="000B13D2">
              <w:rPr>
                <w:rFonts w:cs="Arial"/>
                <w:i/>
                <w:highlight w:val="yellow"/>
              </w:rPr>
              <w:t>Attention: insert name and job title</w:t>
            </w:r>
            <w:r w:rsidRPr="000B13D2">
              <w:rPr>
                <w:rFonts w:cs="Arial"/>
                <w:highlight w:val="yellow"/>
              </w:rPr>
              <w:t>]</w:t>
            </w:r>
          </w:p>
        </w:tc>
      </w:tr>
      <w:tr w:rsidR="00AC7B59" w14:paraId="34693E17" w14:textId="77777777" w:rsidTr="00CE659B">
        <w:tc>
          <w:tcPr>
            <w:tcW w:w="2357" w:type="pct"/>
            <w:shd w:val="clear" w:color="auto" w:fill="auto"/>
          </w:tcPr>
          <w:p w14:paraId="7283D508" w14:textId="77777777" w:rsidR="00AC7B59" w:rsidRPr="00D112CD" w:rsidRDefault="00AC7B59" w:rsidP="00CE659B">
            <w:pPr>
              <w:pStyle w:val="MRheading1"/>
              <w:numPr>
                <w:ilvl w:val="0"/>
                <w:numId w:val="0"/>
              </w:numPr>
              <w:spacing w:before="60" w:after="160" w:line="276" w:lineRule="auto"/>
              <w:rPr>
                <w:rFonts w:cs="Arial"/>
                <w:b w:val="0"/>
                <w:szCs w:val="24"/>
                <w:u w:val="none"/>
              </w:rPr>
            </w:pPr>
            <w:r w:rsidRPr="00D112CD">
              <w:rPr>
                <w:rFonts w:cs="Arial"/>
                <w:bCs/>
                <w:u w:val="none"/>
              </w:rPr>
              <w:t>Email:</w:t>
            </w:r>
            <w:r w:rsidRPr="00D112CD">
              <w:rPr>
                <w:rFonts w:cs="Arial"/>
                <w:b w:val="0"/>
                <w:u w:val="none"/>
              </w:rPr>
              <w:t xml:space="preserve"> T</w:t>
            </w:r>
            <w:r w:rsidRPr="00D112CD">
              <w:rPr>
                <w:rFonts w:cs="Arial"/>
                <w:b w:val="0"/>
                <w:iCs/>
                <w:u w:val="none"/>
              </w:rPr>
              <w:t>hidaporn.wareenin@britishcouncil.or.th</w:t>
            </w:r>
          </w:p>
        </w:tc>
        <w:tc>
          <w:tcPr>
            <w:tcW w:w="2643" w:type="pct"/>
            <w:shd w:val="clear" w:color="auto" w:fill="auto"/>
          </w:tcPr>
          <w:p w14:paraId="469099CE" w14:textId="77777777" w:rsidR="00AC7B59" w:rsidRPr="0049171F" w:rsidRDefault="00AC7B59" w:rsidP="00CE659B">
            <w:pPr>
              <w:pStyle w:val="MRheading1"/>
              <w:numPr>
                <w:ilvl w:val="0"/>
                <w:numId w:val="0"/>
              </w:numPr>
              <w:spacing w:before="60" w:after="160" w:line="276" w:lineRule="auto"/>
              <w:rPr>
                <w:rFonts w:cs="Arial"/>
              </w:rPr>
            </w:pPr>
            <w:r w:rsidRPr="000B13D2">
              <w:rPr>
                <w:rFonts w:cs="Arial"/>
                <w:highlight w:val="yellow"/>
              </w:rPr>
              <w:t>Email: [</w:t>
            </w:r>
            <w:r w:rsidRPr="000B13D2">
              <w:rPr>
                <w:rFonts w:cs="Arial"/>
                <w:i/>
                <w:highlight w:val="yellow"/>
              </w:rPr>
              <w:t>insert email address(es) to which notices may be sent</w:t>
            </w:r>
            <w:r w:rsidRPr="000B13D2">
              <w:rPr>
                <w:rFonts w:cs="Arial"/>
                <w:highlight w:val="yellow"/>
              </w:rPr>
              <w:t>]</w:t>
            </w:r>
          </w:p>
        </w:tc>
      </w:tr>
    </w:tbl>
    <w:p w14:paraId="3EBDC419" w14:textId="77777777" w:rsidR="00AC7B59" w:rsidRPr="00AC7B59" w:rsidRDefault="00AC7B59" w:rsidP="00AC7B59">
      <w:pPr>
        <w:pStyle w:val="MRheading2"/>
        <w:numPr>
          <w:ilvl w:val="0"/>
          <w:numId w:val="0"/>
        </w:numPr>
        <w:spacing w:before="60" w:line="276" w:lineRule="auto"/>
        <w:rPr>
          <w:rFonts w:cstheme="minorBidi"/>
          <w:szCs w:val="22"/>
          <w:lang w:bidi="th-TH"/>
        </w:rPr>
      </w:pPr>
    </w:p>
    <w:p w14:paraId="1D638DA1" w14:textId="77777777" w:rsidR="00AC7B59" w:rsidRDefault="00AC7B59" w:rsidP="00AC7B59">
      <w:pPr>
        <w:pStyle w:val="MRheading1"/>
        <w:spacing w:before="60" w:after="240" w:line="276" w:lineRule="auto"/>
      </w:pPr>
      <w:r>
        <w:t xml:space="preserve">Insurance Requirements </w:t>
      </w:r>
    </w:p>
    <w:p w14:paraId="0F3D0E04" w14:textId="68DDD884" w:rsidR="00AC7B59" w:rsidRPr="008404CF" w:rsidRDefault="00AC7B59" w:rsidP="00AC7B59">
      <w:pPr>
        <w:pStyle w:val="MRheading1"/>
        <w:numPr>
          <w:ilvl w:val="0"/>
          <w:numId w:val="0"/>
        </w:numPr>
        <w:spacing w:before="60" w:after="160" w:line="276" w:lineRule="auto"/>
        <w:rPr>
          <w:b w:val="0"/>
          <w:bCs/>
          <w:u w:val="none"/>
        </w:rPr>
      </w:pPr>
      <w:r w:rsidRPr="00AC6DFD">
        <w:rPr>
          <w:b w:val="0"/>
          <w:bCs/>
          <w:u w:val="none"/>
        </w:rPr>
        <w:t>7.1</w:t>
      </w:r>
      <w:r w:rsidRPr="00AC6DFD">
        <w:rPr>
          <w:b w:val="0"/>
          <w:bCs/>
          <w:u w:val="none"/>
        </w:rPr>
        <w:tab/>
        <w:t>Not Applicable</w:t>
      </w:r>
    </w:p>
    <w:p w14:paraId="4906715D" w14:textId="1480BDCE" w:rsidR="00887A6C" w:rsidRPr="008820DC" w:rsidRDefault="00887A6C" w:rsidP="0049171F">
      <w:pPr>
        <w:pStyle w:val="MRheading1"/>
        <w:spacing w:before="60" w:after="160" w:line="276" w:lineRule="auto"/>
        <w:rPr>
          <w:rFonts w:cs="Arial"/>
          <w:szCs w:val="22"/>
        </w:rPr>
      </w:pPr>
      <w:r w:rsidRPr="008820DC">
        <w:rPr>
          <w:rFonts w:cs="Arial"/>
          <w:szCs w:val="22"/>
        </w:rPr>
        <w:t>Working Hours</w:t>
      </w:r>
    </w:p>
    <w:p w14:paraId="1737C5B1" w14:textId="1F414143" w:rsidR="00E53C43" w:rsidRDefault="00E53C43" w:rsidP="0049171F">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AC7B59">
        <w:rPr>
          <w:b/>
          <w:iCs/>
        </w:rPr>
        <w:t>9 a.m. to 5 p.m. local time Monday to Friday</w:t>
      </w:r>
      <w:r w:rsidR="00D112CD" w:rsidRPr="00D112CD">
        <w:rPr>
          <w:bCs/>
          <w:iCs/>
        </w:rPr>
        <w:t>.</w:t>
      </w:r>
      <w:r w:rsidRPr="00E53C43">
        <w:rPr>
          <w:b/>
          <w:i/>
        </w:rPr>
        <w:t xml:space="preserve"> </w:t>
      </w:r>
    </w:p>
    <w:p w14:paraId="51A7E706" w14:textId="77777777" w:rsidR="00887A6C" w:rsidRPr="0011291D" w:rsidRDefault="00887A6C" w:rsidP="0049171F">
      <w:pPr>
        <w:pStyle w:val="MRheading1"/>
        <w:spacing w:before="60" w:after="160" w:line="276" w:lineRule="auto"/>
      </w:pPr>
      <w:r w:rsidRPr="0011291D">
        <w:t>Supplier’s Liability</w:t>
      </w:r>
    </w:p>
    <w:p w14:paraId="66729EE6" w14:textId="73D94C85" w:rsidR="00887A6C" w:rsidRPr="0011291D" w:rsidRDefault="00887A6C" w:rsidP="0049171F">
      <w:pPr>
        <w:pStyle w:val="MRheading2"/>
        <w:spacing w:before="60" w:after="160" w:line="276" w:lineRule="auto"/>
        <w:rPr>
          <w:rFonts w:cs="Arial"/>
          <w:szCs w:val="22"/>
        </w:rPr>
      </w:pPr>
      <w:r w:rsidRPr="0011291D">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0011291D" w:rsidRPr="0011291D">
        <w:rPr>
          <w:rFonts w:cs="Arial"/>
          <w:b/>
          <w:szCs w:val="22"/>
        </w:rPr>
        <w:t>£1</w:t>
      </w:r>
      <w:r w:rsidR="0093042E">
        <w:rPr>
          <w:rFonts w:cs="Arial"/>
          <w:b/>
          <w:szCs w:val="22"/>
        </w:rPr>
        <w:t>8</w:t>
      </w:r>
      <w:r w:rsidR="0011291D" w:rsidRPr="0011291D">
        <w:rPr>
          <w:rFonts w:cs="Arial"/>
          <w:b/>
          <w:szCs w:val="22"/>
        </w:rPr>
        <w:t xml:space="preserve">,000 </w:t>
      </w:r>
      <w:r w:rsidR="0011291D" w:rsidRPr="0011291D">
        <w:rPr>
          <w:rFonts w:cs="Leelawadee UI"/>
          <w:b/>
          <w:szCs w:val="28"/>
          <w:lang w:bidi="th-TH"/>
        </w:rPr>
        <w:t>(</w:t>
      </w:r>
      <w:r w:rsidR="0093042E">
        <w:rPr>
          <w:rFonts w:cs="Leelawadee UI"/>
          <w:b/>
          <w:szCs w:val="28"/>
          <w:lang w:bidi="th-TH"/>
        </w:rPr>
        <w:t>Eighteen</w:t>
      </w:r>
      <w:r w:rsidR="0011291D" w:rsidRPr="0011291D">
        <w:rPr>
          <w:rFonts w:cs="Leelawadee UI"/>
          <w:b/>
          <w:szCs w:val="28"/>
          <w:lang w:bidi="th-TH"/>
        </w:rPr>
        <w:t xml:space="preserve"> thousand pounds Sterling) </w:t>
      </w:r>
      <w:r w:rsidRPr="0011291D">
        <w:rPr>
          <w:rFonts w:cs="Arial"/>
          <w:szCs w:val="22"/>
        </w:rPr>
        <w:t>for each claim or instance of liability.</w:t>
      </w:r>
    </w:p>
    <w:p w14:paraId="307EB954" w14:textId="77777777" w:rsidR="0039160E" w:rsidRPr="008820DC" w:rsidRDefault="0039160E" w:rsidP="0049171F">
      <w:pPr>
        <w:pStyle w:val="MRheading2"/>
        <w:numPr>
          <w:ilvl w:val="0"/>
          <w:numId w:val="0"/>
        </w:numPr>
        <w:spacing w:before="60" w:after="160" w:line="276" w:lineRule="auto"/>
        <w:rPr>
          <w:rFonts w:cs="Arial"/>
          <w:szCs w:val="22"/>
        </w:rPr>
      </w:pPr>
    </w:p>
    <w:p w14:paraId="0898A881" w14:textId="77777777" w:rsidR="00887A6C" w:rsidRPr="008820DC" w:rsidRDefault="00887A6C" w:rsidP="00C604F0">
      <w:pPr>
        <w:pStyle w:val="MRSchedule1"/>
        <w:numPr>
          <w:ilvl w:val="0"/>
          <w:numId w:val="0"/>
        </w:numPr>
        <w:spacing w:before="60" w:after="160" w:line="276" w:lineRule="auto"/>
        <w:jc w:val="both"/>
        <w:rPr>
          <w:rFonts w:cs="Arial"/>
          <w:bCs/>
          <w:szCs w:val="22"/>
        </w:rPr>
      </w:pPr>
      <w:bookmarkStart w:id="4" w:name="_Ref205893552"/>
      <w:r w:rsidRPr="008820DC">
        <w:rPr>
          <w:rFonts w:cs="Arial"/>
          <w:szCs w:val="22"/>
        </w:rPr>
        <w:br w:type="page"/>
      </w:r>
      <w:bookmarkStart w:id="5" w:name="hw"/>
      <w:bookmarkStart w:id="6" w:name="_Toc207776233"/>
      <w:bookmarkStart w:id="7" w:name="Schedule2"/>
      <w:bookmarkEnd w:id="4"/>
      <w:bookmarkEnd w:id="5"/>
      <w:bookmarkEnd w:id="6"/>
      <w:bookmarkEnd w:id="7"/>
    </w:p>
    <w:p w14:paraId="6385204C" w14:textId="77777777" w:rsidR="001B3A79" w:rsidRPr="007E3376" w:rsidRDefault="001B3A79" w:rsidP="0049171F">
      <w:pPr>
        <w:pStyle w:val="MRSchedule2"/>
        <w:spacing w:before="60" w:after="160" w:line="276" w:lineRule="auto"/>
        <w:rPr>
          <w:rFonts w:cs="Arial"/>
          <w:b/>
          <w:szCs w:val="22"/>
        </w:rPr>
      </w:pPr>
      <w:bookmarkStart w:id="8" w:name="_Toc207776234"/>
      <w:r w:rsidRPr="007E3376">
        <w:rPr>
          <w:rFonts w:cs="Arial"/>
          <w:b/>
          <w:szCs w:val="22"/>
        </w:rPr>
        <w:lastRenderedPageBreak/>
        <w:t xml:space="preserve">Schedule 2 </w:t>
      </w:r>
    </w:p>
    <w:p w14:paraId="0534EFBC" w14:textId="77777777" w:rsidR="00887A6C" w:rsidRPr="008820DC" w:rsidRDefault="00887A6C" w:rsidP="0049171F">
      <w:pPr>
        <w:pStyle w:val="MRSchedule2"/>
        <w:spacing w:before="60" w:after="160" w:line="276" w:lineRule="auto"/>
        <w:rPr>
          <w:rFonts w:cs="Arial"/>
          <w:szCs w:val="22"/>
        </w:rPr>
      </w:pPr>
      <w:r w:rsidRPr="008820DC">
        <w:rPr>
          <w:rFonts w:cs="Arial"/>
          <w:szCs w:val="22"/>
        </w:rPr>
        <w:t>Specification</w:t>
      </w:r>
    </w:p>
    <w:p w14:paraId="15F5A30F" w14:textId="7F8C1914" w:rsidR="00D112CD" w:rsidRPr="00D112CD" w:rsidRDefault="00D112CD" w:rsidP="0049171F">
      <w:pPr>
        <w:spacing w:before="60" w:after="160" w:line="276" w:lineRule="auto"/>
        <w:rPr>
          <w:rFonts w:cs="Arial"/>
          <w:b/>
          <w:bCs/>
          <w:szCs w:val="22"/>
        </w:rPr>
      </w:pPr>
      <w:r w:rsidRPr="00D112CD">
        <w:rPr>
          <w:rFonts w:cs="Arial"/>
          <w:b/>
          <w:bCs/>
          <w:szCs w:val="22"/>
        </w:rPr>
        <w:t>Project background and objectives</w:t>
      </w:r>
    </w:p>
    <w:p w14:paraId="1514E5C8" w14:textId="669A8CC5" w:rsidR="00D112CD" w:rsidRDefault="00D112CD" w:rsidP="00D112CD">
      <w:pPr>
        <w:spacing w:before="60" w:after="160" w:line="276" w:lineRule="auto"/>
        <w:rPr>
          <w:rFonts w:cs="Arial"/>
          <w:szCs w:val="22"/>
        </w:rPr>
      </w:pPr>
      <w:r w:rsidRPr="00D112CD">
        <w:rPr>
          <w:rFonts w:cs="Arial"/>
          <w:szCs w:val="22"/>
        </w:rPr>
        <w:t>To respond to the global economic challenge and commitment to SDGs, Thailand adopted Bio-Circular-Green Economic Model (BCG) as new economic development model for sustainable growth and inclusiveness, that capitalises the country’s strengths in biodiversity and cultural richness, employs technology and innovation to transform Thailand to value-based and innovative-driven economy, as well as addresses the UN’s SDGs.</w:t>
      </w:r>
    </w:p>
    <w:p w14:paraId="52174DD6" w14:textId="56D4B4A4" w:rsidR="00D112CD" w:rsidRDefault="00D112CD" w:rsidP="00D112CD">
      <w:pPr>
        <w:spacing w:before="60" w:after="160" w:line="276" w:lineRule="auto"/>
        <w:rPr>
          <w:rFonts w:cs="Arial"/>
          <w:szCs w:val="22"/>
        </w:rPr>
      </w:pPr>
      <w:r w:rsidRPr="00D112CD">
        <w:rPr>
          <w:rFonts w:cs="Arial"/>
          <w:szCs w:val="22"/>
        </w:rPr>
        <w:t xml:space="preserve">The British Council and the National Science and Technology Development Agency (NSTDA) agreed to work on the Foresight </w:t>
      </w:r>
      <w:r w:rsidR="0093042E">
        <w:rPr>
          <w:rFonts w:cs="Arial"/>
          <w:szCs w:val="22"/>
        </w:rPr>
        <w:t xml:space="preserve">into </w:t>
      </w:r>
      <w:r w:rsidRPr="00D112CD">
        <w:rPr>
          <w:rFonts w:cs="Arial"/>
          <w:szCs w:val="22"/>
        </w:rPr>
        <w:t xml:space="preserve">BCG </w:t>
      </w:r>
      <w:r w:rsidR="0093042E">
        <w:rPr>
          <w:rFonts w:cs="Arial"/>
          <w:szCs w:val="22"/>
        </w:rPr>
        <w:t xml:space="preserve">Model </w:t>
      </w:r>
      <w:r w:rsidRPr="00D112CD">
        <w:rPr>
          <w:rFonts w:cs="Arial"/>
          <w:szCs w:val="22"/>
        </w:rPr>
        <w:t xml:space="preserve">Project </w:t>
      </w:r>
      <w:r>
        <w:rPr>
          <w:rFonts w:cs="Arial"/>
          <w:szCs w:val="22"/>
        </w:rPr>
        <w:t>(“</w:t>
      </w:r>
      <w:r w:rsidRPr="00D112CD">
        <w:rPr>
          <w:rFonts w:cs="Arial"/>
          <w:b/>
          <w:bCs/>
          <w:szCs w:val="22"/>
        </w:rPr>
        <w:t>Project</w:t>
      </w:r>
      <w:r>
        <w:rPr>
          <w:rFonts w:cs="Arial"/>
          <w:szCs w:val="22"/>
        </w:rPr>
        <w:t xml:space="preserve">”). </w:t>
      </w:r>
      <w:r w:rsidRPr="00D112CD">
        <w:rPr>
          <w:rFonts w:cs="Arial"/>
          <w:szCs w:val="22"/>
        </w:rPr>
        <w:t>Drawing upon successful models in the UK and foresight approaches, this project will use UK’s foresight expertise to construct intensive capability building, and to develop framework and strategic roadmap to support both policymakers in creating better informed higher education and research and innovation policy and direction, and to support universities as well as research institutes to better implement their innovation plan in the face of unpredictable change in the strategic areas under the BCG sectors. The project will also build on the skills of people who have been trained before to update and work on the roadmap.</w:t>
      </w:r>
    </w:p>
    <w:p w14:paraId="1ADA7EEA" w14:textId="18E5A345" w:rsidR="00E96F5F" w:rsidRDefault="00E96F5F" w:rsidP="00E96F5F">
      <w:pPr>
        <w:spacing w:before="0" w:after="120" w:line="276" w:lineRule="auto"/>
        <w:rPr>
          <w:rFonts w:cs="Arial"/>
          <w:szCs w:val="22"/>
        </w:rPr>
      </w:pPr>
      <w:r w:rsidRPr="00E96F5F">
        <w:rPr>
          <w:rFonts w:cs="Arial"/>
          <w:szCs w:val="22"/>
        </w:rPr>
        <w:t>The Foresight into BCG Model Project</w:t>
      </w:r>
      <w:r>
        <w:rPr>
          <w:rFonts w:cs="Arial"/>
          <w:szCs w:val="22"/>
        </w:rPr>
        <w:t xml:space="preserve"> </w:t>
      </w:r>
      <w:r w:rsidRPr="00E96F5F">
        <w:rPr>
          <w:rFonts w:cs="Arial"/>
          <w:szCs w:val="22"/>
        </w:rPr>
        <w:t xml:space="preserve">is a part of the British Council’s overarching Going Global Partnerships Programme to build partnerships between UK higher education institutions and other countries, and support the exchange and mobility of academics, </w:t>
      </w:r>
      <w:proofErr w:type="gramStart"/>
      <w:r w:rsidRPr="00E96F5F">
        <w:rPr>
          <w:rFonts w:cs="Arial"/>
          <w:szCs w:val="22"/>
        </w:rPr>
        <w:t>scholars</w:t>
      </w:r>
      <w:proofErr w:type="gramEnd"/>
      <w:r w:rsidRPr="00E96F5F">
        <w:rPr>
          <w:rFonts w:cs="Arial"/>
          <w:szCs w:val="22"/>
        </w:rPr>
        <w:t xml:space="preserve"> and students, working together internationally and in partnership to ensure that tertiary education meets the needs of our societies, economies, and students.</w:t>
      </w:r>
    </w:p>
    <w:p w14:paraId="089454F8" w14:textId="3ACE63E1" w:rsidR="00D112CD" w:rsidRPr="00D112CD" w:rsidRDefault="00D112CD" w:rsidP="00D112CD">
      <w:pPr>
        <w:spacing w:before="0" w:after="120" w:line="276" w:lineRule="auto"/>
        <w:jc w:val="left"/>
        <w:rPr>
          <w:rFonts w:eastAsia="MS PGothic" w:cs="Arial"/>
          <w:b/>
          <w:bCs/>
          <w:szCs w:val="22"/>
          <w:lang w:eastAsia="en-US"/>
        </w:rPr>
      </w:pPr>
      <w:r w:rsidRPr="00D112CD">
        <w:rPr>
          <w:rFonts w:eastAsia="MS PGothic" w:cs="Arial"/>
          <w:b/>
          <w:bCs/>
          <w:szCs w:val="22"/>
          <w:lang w:eastAsia="en-US"/>
        </w:rPr>
        <w:t>Expected outputs:</w:t>
      </w:r>
    </w:p>
    <w:p w14:paraId="3D8C74AD" w14:textId="77777777" w:rsidR="00D112CD" w:rsidRPr="00D112CD" w:rsidRDefault="00D112CD" w:rsidP="00D112CD">
      <w:pPr>
        <w:numPr>
          <w:ilvl w:val="0"/>
          <w:numId w:val="15"/>
        </w:numPr>
        <w:spacing w:before="0" w:line="276" w:lineRule="auto"/>
        <w:rPr>
          <w:rFonts w:eastAsia="MS PGothic" w:cs="Cordia New"/>
          <w:szCs w:val="22"/>
          <w:lang w:eastAsia="en-US" w:bidi="th-TH"/>
        </w:rPr>
      </w:pPr>
      <w:r w:rsidRPr="00D112CD">
        <w:rPr>
          <w:rFonts w:eastAsia="MS PGothic" w:cs="Arial"/>
          <w:szCs w:val="22"/>
          <w:lang w:eastAsia="en-US"/>
        </w:rPr>
        <w:t>Strategic planners who can utilise foresight tools for strategic planning.</w:t>
      </w:r>
    </w:p>
    <w:p w14:paraId="5064EEBB" w14:textId="77777777" w:rsidR="00D112CD" w:rsidRPr="00D112CD" w:rsidRDefault="00D112CD" w:rsidP="00D112CD">
      <w:pPr>
        <w:numPr>
          <w:ilvl w:val="0"/>
          <w:numId w:val="15"/>
        </w:numPr>
        <w:spacing w:before="0" w:line="276" w:lineRule="auto"/>
        <w:rPr>
          <w:rFonts w:eastAsia="MS PGothic" w:cs="Cordia New"/>
          <w:szCs w:val="22"/>
          <w:lang w:eastAsia="en-US" w:bidi="th-TH"/>
        </w:rPr>
      </w:pPr>
      <w:r w:rsidRPr="00D112CD">
        <w:rPr>
          <w:rFonts w:eastAsia="MS PGothic" w:cs="Cordia New"/>
          <w:szCs w:val="22"/>
          <w:lang w:eastAsia="en-US" w:bidi="th-TH"/>
        </w:rPr>
        <w:t>Foresight toolkits developed by UK consultant</w:t>
      </w:r>
    </w:p>
    <w:p w14:paraId="4B276CA0" w14:textId="77777777" w:rsidR="00D112CD" w:rsidRPr="00D112CD" w:rsidRDefault="00D112CD" w:rsidP="00D112CD">
      <w:pPr>
        <w:numPr>
          <w:ilvl w:val="0"/>
          <w:numId w:val="15"/>
        </w:numPr>
        <w:spacing w:before="0" w:line="276" w:lineRule="auto"/>
        <w:rPr>
          <w:rFonts w:eastAsia="MS PGothic" w:cs="Cordia New"/>
          <w:szCs w:val="22"/>
          <w:lang w:eastAsia="en-US" w:bidi="th-TH"/>
        </w:rPr>
      </w:pPr>
      <w:r w:rsidRPr="00D112CD">
        <w:rPr>
          <w:rFonts w:eastAsia="MS PGothic" w:cs="Cordia New"/>
          <w:szCs w:val="22"/>
          <w:lang w:eastAsia="en-US" w:bidi="th-TH"/>
        </w:rPr>
        <w:t xml:space="preserve">Roadmap, implementation strategies and national strategic recommendations for BCG sectors </w:t>
      </w:r>
      <w:r w:rsidRPr="00D112CD">
        <w:rPr>
          <w:rFonts w:eastAsia="MS PGothic" w:cs="Arial"/>
          <w:szCs w:val="22"/>
          <w:lang w:eastAsia="en-US"/>
        </w:rPr>
        <w:t>to support Thai policymakers to make better informed directions</w:t>
      </w:r>
      <w:r w:rsidRPr="00D112CD">
        <w:rPr>
          <w:rFonts w:eastAsia="MS PGothic" w:cs="Cordia New"/>
          <w:szCs w:val="22"/>
          <w:lang w:eastAsia="en-US" w:bidi="th-TH"/>
        </w:rPr>
        <w:t>; results disseminated to key stakeholders in a policy forum.</w:t>
      </w:r>
    </w:p>
    <w:p w14:paraId="427F1728" w14:textId="424A71D9" w:rsidR="00D112CD" w:rsidRDefault="00D112CD" w:rsidP="00D112CD">
      <w:pPr>
        <w:numPr>
          <w:ilvl w:val="0"/>
          <w:numId w:val="15"/>
        </w:numPr>
        <w:spacing w:before="0" w:line="276" w:lineRule="auto"/>
        <w:rPr>
          <w:rFonts w:eastAsia="MS PGothic" w:cs="Arial"/>
          <w:szCs w:val="22"/>
          <w:lang w:eastAsia="en-US"/>
        </w:rPr>
      </w:pPr>
      <w:r w:rsidRPr="00D112CD">
        <w:rPr>
          <w:rFonts w:eastAsia="MS PGothic" w:cs="Arial"/>
          <w:szCs w:val="22"/>
          <w:lang w:eastAsia="en-US"/>
        </w:rPr>
        <w:t xml:space="preserve">A wider network related to BCG between Thai and UK </w:t>
      </w:r>
    </w:p>
    <w:p w14:paraId="08C0084A" w14:textId="77777777" w:rsidR="00D112CD" w:rsidRPr="00D112CD" w:rsidRDefault="00D112CD" w:rsidP="00D112CD">
      <w:pPr>
        <w:rPr>
          <w:b/>
          <w:bCs/>
          <w:szCs w:val="22"/>
        </w:rPr>
      </w:pPr>
      <w:r w:rsidRPr="00D112CD">
        <w:rPr>
          <w:b/>
          <w:bCs/>
          <w:szCs w:val="22"/>
        </w:rPr>
        <w:t>Expected outcomes for British Council:</w:t>
      </w:r>
    </w:p>
    <w:p w14:paraId="4A0AA459" w14:textId="77777777" w:rsidR="00D112CD" w:rsidRPr="00D112CD" w:rsidRDefault="00D112CD" w:rsidP="00D112CD">
      <w:pPr>
        <w:pStyle w:val="ListParagraph"/>
        <w:numPr>
          <w:ilvl w:val="0"/>
          <w:numId w:val="18"/>
        </w:numPr>
        <w:spacing w:after="0"/>
        <w:jc w:val="thaiDistribute"/>
        <w:rPr>
          <w:sz w:val="22"/>
          <w:szCs w:val="22"/>
          <w:lang w:val="en-US"/>
        </w:rPr>
      </w:pPr>
      <w:r w:rsidRPr="00D112CD">
        <w:rPr>
          <w:sz w:val="22"/>
          <w:szCs w:val="22"/>
          <w:lang w:val="en-US"/>
        </w:rPr>
        <w:t>Short term outcome: ​</w:t>
      </w:r>
    </w:p>
    <w:p w14:paraId="154FBD48" w14:textId="77777777" w:rsidR="00D112CD" w:rsidRPr="00D112CD" w:rsidRDefault="00D112CD" w:rsidP="00D112CD">
      <w:pPr>
        <w:pStyle w:val="ListParagraph"/>
        <w:numPr>
          <w:ilvl w:val="1"/>
          <w:numId w:val="18"/>
        </w:numPr>
        <w:spacing w:after="0"/>
        <w:jc w:val="thaiDistribute"/>
        <w:rPr>
          <w:sz w:val="22"/>
          <w:szCs w:val="22"/>
          <w:lang w:val="en-US"/>
        </w:rPr>
      </w:pPr>
      <w:r w:rsidRPr="00D112CD">
        <w:rPr>
          <w:sz w:val="22"/>
          <w:szCs w:val="22"/>
          <w:lang w:val="en-US"/>
        </w:rPr>
        <w:t xml:space="preserve">Upskill higher education workforce with enhanced capabilities to increase the quality of HE systems </w:t>
      </w:r>
    </w:p>
    <w:p w14:paraId="2F1D298E" w14:textId="77777777" w:rsidR="00D112CD" w:rsidRPr="00D112CD" w:rsidRDefault="00D112CD" w:rsidP="00D112CD">
      <w:pPr>
        <w:pStyle w:val="ListParagraph"/>
        <w:numPr>
          <w:ilvl w:val="1"/>
          <w:numId w:val="18"/>
        </w:numPr>
        <w:spacing w:after="0"/>
        <w:jc w:val="thaiDistribute"/>
        <w:rPr>
          <w:sz w:val="22"/>
          <w:szCs w:val="22"/>
          <w:lang w:val="en-US"/>
        </w:rPr>
      </w:pPr>
      <w:r w:rsidRPr="00D112CD">
        <w:rPr>
          <w:sz w:val="22"/>
          <w:szCs w:val="22"/>
          <w:lang w:val="en-US"/>
        </w:rPr>
        <w:t xml:space="preserve">Contributes to wider reform processes including quality assurance, compliance, relevant tools, evaluative </w:t>
      </w:r>
      <w:proofErr w:type="gramStart"/>
      <w:r w:rsidRPr="00D112CD">
        <w:rPr>
          <w:sz w:val="22"/>
          <w:szCs w:val="22"/>
          <w:lang w:val="en-US"/>
        </w:rPr>
        <w:t>frameworks</w:t>
      </w:r>
      <w:proofErr w:type="gramEnd"/>
      <w:r w:rsidRPr="00D112CD">
        <w:rPr>
          <w:sz w:val="22"/>
          <w:szCs w:val="22"/>
          <w:lang w:val="en-US"/>
        </w:rPr>
        <w:t xml:space="preserve"> and access.</w:t>
      </w:r>
    </w:p>
    <w:p w14:paraId="0CD0017C" w14:textId="7EE82FAB" w:rsidR="00D112CD" w:rsidRDefault="00D112CD" w:rsidP="00D112CD">
      <w:pPr>
        <w:pStyle w:val="ListParagraph"/>
        <w:numPr>
          <w:ilvl w:val="1"/>
          <w:numId w:val="18"/>
        </w:numPr>
        <w:spacing w:after="0"/>
        <w:jc w:val="thaiDistribute"/>
        <w:rPr>
          <w:sz w:val="22"/>
          <w:szCs w:val="22"/>
          <w:lang w:val="en-US"/>
        </w:rPr>
      </w:pPr>
      <w:r w:rsidRPr="00D112CD">
        <w:rPr>
          <w:sz w:val="22"/>
          <w:szCs w:val="22"/>
          <w:lang w:val="en-US"/>
        </w:rPr>
        <w:t xml:space="preserve">Develop and enhance external engagement strategies (with industry, economy, cultural and society) </w:t>
      </w:r>
    </w:p>
    <w:p w14:paraId="2C79ADC8" w14:textId="77777777" w:rsidR="00D112CD" w:rsidRPr="00D112CD" w:rsidRDefault="00D112CD" w:rsidP="00D112CD">
      <w:pPr>
        <w:pStyle w:val="ListParagraph"/>
        <w:spacing w:after="0"/>
        <w:ind w:left="1440"/>
        <w:jc w:val="thaiDistribute"/>
        <w:rPr>
          <w:sz w:val="22"/>
          <w:szCs w:val="22"/>
          <w:lang w:val="en-US"/>
        </w:rPr>
      </w:pPr>
    </w:p>
    <w:p w14:paraId="22D59DCF" w14:textId="77777777" w:rsidR="00D112CD" w:rsidRPr="00D112CD" w:rsidRDefault="00D112CD" w:rsidP="00D112CD">
      <w:pPr>
        <w:pStyle w:val="ListParagraph"/>
        <w:numPr>
          <w:ilvl w:val="0"/>
          <w:numId w:val="18"/>
        </w:numPr>
        <w:spacing w:after="0"/>
        <w:jc w:val="thaiDistribute"/>
        <w:rPr>
          <w:sz w:val="22"/>
          <w:szCs w:val="22"/>
          <w:lang w:val="en-US"/>
        </w:rPr>
      </w:pPr>
      <w:r w:rsidRPr="00D112CD">
        <w:rPr>
          <w:sz w:val="22"/>
          <w:szCs w:val="22"/>
          <w:lang w:val="en-US"/>
        </w:rPr>
        <w:t>Long term outcome: ​</w:t>
      </w:r>
    </w:p>
    <w:p w14:paraId="7813C4AB" w14:textId="77777777" w:rsidR="00D112CD" w:rsidRPr="00D112CD" w:rsidRDefault="00D112CD" w:rsidP="00D112CD">
      <w:pPr>
        <w:pStyle w:val="ListParagraph"/>
        <w:numPr>
          <w:ilvl w:val="1"/>
          <w:numId w:val="18"/>
        </w:numPr>
        <w:spacing w:after="0"/>
        <w:jc w:val="thaiDistribute"/>
        <w:rPr>
          <w:sz w:val="22"/>
          <w:szCs w:val="22"/>
          <w:lang w:val="en-US"/>
        </w:rPr>
      </w:pPr>
      <w:r w:rsidRPr="00D112CD">
        <w:rPr>
          <w:sz w:val="22"/>
          <w:szCs w:val="22"/>
          <w:lang w:val="en-US"/>
        </w:rPr>
        <w:t>Contribution to policy and system improvements which draws upon UK expertise​.</w:t>
      </w:r>
    </w:p>
    <w:p w14:paraId="296CD659" w14:textId="77777777" w:rsidR="00D112CD" w:rsidRPr="00D112CD" w:rsidRDefault="00D112CD" w:rsidP="00D112CD">
      <w:pPr>
        <w:pStyle w:val="Bullets"/>
        <w:numPr>
          <w:ilvl w:val="1"/>
          <w:numId w:val="18"/>
        </w:numPr>
        <w:spacing w:after="0"/>
        <w:jc w:val="thaiDistribute"/>
        <w:rPr>
          <w:sz w:val="22"/>
          <w:szCs w:val="22"/>
        </w:rPr>
      </w:pPr>
      <w:r w:rsidRPr="00D112CD">
        <w:rPr>
          <w:sz w:val="22"/>
          <w:szCs w:val="22"/>
        </w:rPr>
        <w:t>Increased HMG interest and engagement in the sector and the region.</w:t>
      </w:r>
    </w:p>
    <w:p w14:paraId="4F67E27B" w14:textId="77777777" w:rsidR="00D112CD" w:rsidRPr="00D112CD" w:rsidRDefault="00D112CD" w:rsidP="00D112CD">
      <w:pPr>
        <w:pStyle w:val="ListParagraph"/>
        <w:ind w:left="720"/>
        <w:rPr>
          <w:sz w:val="22"/>
          <w:szCs w:val="22"/>
          <w:lang w:val="en-US"/>
        </w:rPr>
      </w:pPr>
    </w:p>
    <w:p w14:paraId="3D7B8BF6" w14:textId="77777777" w:rsidR="00E96F5F" w:rsidRDefault="00E96F5F" w:rsidP="00D112CD">
      <w:pPr>
        <w:pStyle w:val="ListParagraph"/>
        <w:rPr>
          <w:b/>
          <w:bCs/>
          <w:sz w:val="22"/>
          <w:szCs w:val="22"/>
        </w:rPr>
      </w:pPr>
    </w:p>
    <w:p w14:paraId="5F6873D4" w14:textId="49863A68" w:rsidR="00D112CD" w:rsidRPr="00D112CD" w:rsidRDefault="00D112CD" w:rsidP="00D112CD">
      <w:pPr>
        <w:pStyle w:val="ListParagraph"/>
        <w:rPr>
          <w:b/>
          <w:bCs/>
          <w:sz w:val="22"/>
          <w:szCs w:val="22"/>
        </w:rPr>
      </w:pPr>
      <w:r w:rsidRPr="00D112CD">
        <w:rPr>
          <w:b/>
          <w:bCs/>
          <w:sz w:val="22"/>
          <w:szCs w:val="22"/>
        </w:rPr>
        <w:lastRenderedPageBreak/>
        <w:t xml:space="preserve">Expected outcomes for NSTDA: </w:t>
      </w:r>
    </w:p>
    <w:p w14:paraId="4530827A" w14:textId="77777777" w:rsidR="00D112CD" w:rsidRPr="00D112CD" w:rsidRDefault="00D112CD" w:rsidP="00D112CD">
      <w:pPr>
        <w:pStyle w:val="ListParagraph"/>
        <w:numPr>
          <w:ilvl w:val="0"/>
          <w:numId w:val="15"/>
        </w:numPr>
        <w:spacing w:after="0"/>
        <w:rPr>
          <w:sz w:val="22"/>
          <w:szCs w:val="22"/>
        </w:rPr>
      </w:pPr>
      <w:r w:rsidRPr="00D112CD">
        <w:rPr>
          <w:sz w:val="22"/>
          <w:szCs w:val="22"/>
        </w:rPr>
        <w:t>Increase foresight capability of strategic planning personnel in BCG related industries.</w:t>
      </w:r>
    </w:p>
    <w:p w14:paraId="710A62D3" w14:textId="77777777" w:rsidR="00D112CD" w:rsidRPr="00D112CD" w:rsidRDefault="00D112CD" w:rsidP="00D112CD">
      <w:pPr>
        <w:pStyle w:val="ListParagraph"/>
        <w:numPr>
          <w:ilvl w:val="0"/>
          <w:numId w:val="15"/>
        </w:numPr>
        <w:spacing w:after="0"/>
        <w:rPr>
          <w:sz w:val="22"/>
          <w:szCs w:val="22"/>
        </w:rPr>
      </w:pPr>
      <w:r w:rsidRPr="00D112CD">
        <w:rPr>
          <w:sz w:val="22"/>
          <w:szCs w:val="22"/>
        </w:rPr>
        <w:t>Implementation of the result from the workshop to create strategies and plan for strengthening innovation and competitiveness of industrial sectors related to BCG economy model as identified.</w:t>
      </w:r>
    </w:p>
    <w:p w14:paraId="367E370F" w14:textId="77777777" w:rsidR="00D112CD" w:rsidRPr="00D112CD" w:rsidRDefault="00D112CD" w:rsidP="00D112CD">
      <w:pPr>
        <w:pStyle w:val="ListParagraph"/>
        <w:numPr>
          <w:ilvl w:val="0"/>
          <w:numId w:val="15"/>
        </w:numPr>
        <w:spacing w:after="0"/>
        <w:rPr>
          <w:sz w:val="22"/>
          <w:szCs w:val="22"/>
        </w:rPr>
      </w:pPr>
      <w:r w:rsidRPr="00D112CD">
        <w:rPr>
          <w:sz w:val="22"/>
          <w:szCs w:val="22"/>
        </w:rPr>
        <w:t xml:space="preserve">Food </w:t>
      </w:r>
      <w:proofErr w:type="spellStart"/>
      <w:r w:rsidRPr="00D112CD">
        <w:rPr>
          <w:sz w:val="22"/>
          <w:szCs w:val="22"/>
        </w:rPr>
        <w:t>Innopolis</w:t>
      </w:r>
      <w:proofErr w:type="spellEnd"/>
      <w:r w:rsidRPr="00D112CD">
        <w:rPr>
          <w:sz w:val="22"/>
          <w:szCs w:val="22"/>
        </w:rPr>
        <w:t>, NSTDA is seen as a trusted strategic planning and Policy Adviser (Think-Tank) for food industry and/or other industries and innovation at the national and regional level.</w:t>
      </w:r>
    </w:p>
    <w:p w14:paraId="2312FE69" w14:textId="77777777" w:rsidR="00D112CD" w:rsidRPr="00662673" w:rsidRDefault="00D112CD" w:rsidP="00D112CD">
      <w:pPr>
        <w:pStyle w:val="ListParagraph"/>
        <w:numPr>
          <w:ilvl w:val="0"/>
          <w:numId w:val="15"/>
        </w:numPr>
        <w:spacing w:after="0"/>
        <w:rPr>
          <w:sz w:val="22"/>
          <w:szCs w:val="22"/>
        </w:rPr>
      </w:pPr>
      <w:r w:rsidRPr="00D112CD">
        <w:rPr>
          <w:sz w:val="22"/>
          <w:szCs w:val="22"/>
        </w:rPr>
        <w:t xml:space="preserve">Stronger relations </w:t>
      </w:r>
      <w:r w:rsidRPr="00662673">
        <w:rPr>
          <w:sz w:val="22"/>
          <w:szCs w:val="22"/>
        </w:rPr>
        <w:t>between Thailand, ASEAN and the UK higher education and research institutes.</w:t>
      </w:r>
    </w:p>
    <w:p w14:paraId="3CFE744A" w14:textId="77777777" w:rsidR="00D112CD" w:rsidRPr="00662673" w:rsidRDefault="00D112CD" w:rsidP="00D112CD">
      <w:pPr>
        <w:spacing w:before="0" w:line="276" w:lineRule="auto"/>
        <w:rPr>
          <w:rFonts w:eastAsia="MS PGothic" w:cs="Arial"/>
          <w:szCs w:val="22"/>
          <w:lang w:eastAsia="en-US"/>
        </w:rPr>
      </w:pPr>
    </w:p>
    <w:p w14:paraId="448882A6" w14:textId="77777777" w:rsidR="00D112CD" w:rsidRPr="00662673" w:rsidRDefault="00D112CD" w:rsidP="00D112CD">
      <w:pPr>
        <w:spacing w:before="0" w:line="276" w:lineRule="auto"/>
        <w:rPr>
          <w:rFonts w:cs="Arial"/>
          <w:b/>
          <w:bCs/>
          <w:szCs w:val="22"/>
        </w:rPr>
      </w:pPr>
      <w:r w:rsidRPr="00662673">
        <w:rPr>
          <w:rFonts w:cs="Arial"/>
          <w:b/>
          <w:bCs/>
          <w:szCs w:val="22"/>
        </w:rPr>
        <w:t>Services, Goods, and Deliverables</w:t>
      </w:r>
    </w:p>
    <w:p w14:paraId="7713DAE7" w14:textId="200C65F8" w:rsidR="00662673" w:rsidRDefault="00662673" w:rsidP="00662673">
      <w:pPr>
        <w:rPr>
          <w:rFonts w:cs="Leelawadee UI"/>
          <w:szCs w:val="22"/>
          <w:lang w:bidi="th-TH"/>
        </w:rPr>
      </w:pPr>
      <w:r w:rsidRPr="00662673">
        <w:rPr>
          <w:rFonts w:cs="Leelawadee UI"/>
          <w:szCs w:val="22"/>
          <w:lang w:bidi="th-TH"/>
        </w:rPr>
        <w:t xml:space="preserve">The </w:t>
      </w:r>
      <w:r w:rsidR="004A033D">
        <w:rPr>
          <w:rFonts w:cs="Leelawadee UI"/>
          <w:szCs w:val="22"/>
          <w:lang w:bidi="th-TH"/>
        </w:rPr>
        <w:t>Supplier is</w:t>
      </w:r>
      <w:r w:rsidRPr="00662673">
        <w:rPr>
          <w:rFonts w:cs="Leelawadee UI"/>
          <w:szCs w:val="22"/>
          <w:lang w:bidi="th-TH"/>
        </w:rPr>
        <w:t xml:space="preserve"> expected to deliver services to the British Council, </w:t>
      </w:r>
      <w:r w:rsidR="004A033D">
        <w:rPr>
          <w:rFonts w:cs="Leelawadee UI"/>
          <w:szCs w:val="22"/>
          <w:lang w:bidi="th-TH"/>
        </w:rPr>
        <w:t>as</w:t>
      </w:r>
      <w:r w:rsidRPr="00662673">
        <w:rPr>
          <w:rFonts w:cs="Leelawadee UI"/>
          <w:szCs w:val="22"/>
          <w:lang w:bidi="th-TH"/>
        </w:rPr>
        <w:t xml:space="preserve"> provided below:</w:t>
      </w:r>
    </w:p>
    <w:p w14:paraId="749E91CB" w14:textId="77777777" w:rsidR="005A18B9" w:rsidRPr="005A18B9" w:rsidRDefault="005A18B9" w:rsidP="005A18B9">
      <w:pPr>
        <w:spacing w:line="276" w:lineRule="auto"/>
        <w:rPr>
          <w:rFonts w:cs="Leelawadee UI"/>
          <w:szCs w:val="22"/>
          <w:lang w:bidi="th-TH"/>
        </w:rPr>
      </w:pPr>
      <w:r w:rsidRPr="005A18B9">
        <w:rPr>
          <w:rFonts w:cs="Leelawadee UI"/>
          <w:b/>
          <w:bCs/>
          <w:szCs w:val="22"/>
          <w:lang w:bidi="th-TH"/>
        </w:rPr>
        <w:t xml:space="preserve">WP1: Foresight toolkit development - </w:t>
      </w:r>
      <w:r w:rsidRPr="005A18B9">
        <w:rPr>
          <w:rFonts w:cs="Leelawadee UI"/>
          <w:szCs w:val="22"/>
          <w:lang w:bidi="th-TH"/>
        </w:rPr>
        <w:t>Using the UK’s approach and best practices, the Supplier is to develop planning tools and framework specific for Thailand’s 4 BCG sectors (Food and Agriculture, Health and Wellbeing, Environment, Tourism, and others BCG related industries), with inputs from relevant policy makers. These toolkits are expected to be adopted by both 1) policymakers in creating better informed higher education and research and innovation policy and direction, and 2) universities and research institutes to better implement their innovation plan in the face of uncertainty.</w:t>
      </w:r>
    </w:p>
    <w:p w14:paraId="024BFFA0" w14:textId="77777777" w:rsidR="005A18B9" w:rsidRPr="005A18B9" w:rsidRDefault="005A18B9" w:rsidP="005A18B9">
      <w:pPr>
        <w:spacing w:line="276" w:lineRule="auto"/>
        <w:rPr>
          <w:rFonts w:cs="Leelawadee UI"/>
          <w:szCs w:val="22"/>
          <w:lang w:bidi="th-TH"/>
        </w:rPr>
      </w:pPr>
      <w:r w:rsidRPr="005A18B9">
        <w:rPr>
          <w:rFonts w:cs="Leelawadee UI"/>
          <w:szCs w:val="22"/>
          <w:lang w:bidi="th-TH"/>
        </w:rPr>
        <w:t xml:space="preserve">The following tasks under this WP1 will include: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257"/>
        <w:gridCol w:w="2429"/>
        <w:gridCol w:w="1523"/>
      </w:tblGrid>
      <w:tr w:rsidR="005A18B9" w:rsidRPr="005A18B9" w14:paraId="3658FF65" w14:textId="77777777" w:rsidTr="005A18B9">
        <w:trPr>
          <w:trHeight w:val="510"/>
        </w:trPr>
        <w:tc>
          <w:tcPr>
            <w:tcW w:w="1710" w:type="dxa"/>
            <w:tcBorders>
              <w:top w:val="single" w:sz="4" w:space="0" w:color="auto"/>
              <w:left w:val="single" w:sz="4" w:space="0" w:color="auto"/>
              <w:bottom w:val="single" w:sz="4" w:space="0" w:color="auto"/>
              <w:right w:val="single" w:sz="4" w:space="0" w:color="auto"/>
            </w:tcBorders>
            <w:vAlign w:val="center"/>
            <w:hideMark/>
          </w:tcPr>
          <w:p w14:paraId="389A5FBD"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Task</w:t>
            </w:r>
          </w:p>
        </w:tc>
        <w:tc>
          <w:tcPr>
            <w:tcW w:w="4414" w:type="dxa"/>
            <w:tcBorders>
              <w:top w:val="single" w:sz="4" w:space="0" w:color="auto"/>
              <w:left w:val="single" w:sz="4" w:space="0" w:color="auto"/>
              <w:bottom w:val="single" w:sz="4" w:space="0" w:color="auto"/>
              <w:right w:val="single" w:sz="4" w:space="0" w:color="auto"/>
            </w:tcBorders>
            <w:vAlign w:val="center"/>
            <w:hideMark/>
          </w:tcPr>
          <w:p w14:paraId="15579B80"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Details</w:t>
            </w:r>
          </w:p>
        </w:tc>
        <w:tc>
          <w:tcPr>
            <w:tcW w:w="2489" w:type="dxa"/>
            <w:tcBorders>
              <w:top w:val="single" w:sz="4" w:space="0" w:color="auto"/>
              <w:left w:val="single" w:sz="4" w:space="0" w:color="auto"/>
              <w:bottom w:val="single" w:sz="4" w:space="0" w:color="auto"/>
              <w:right w:val="single" w:sz="4" w:space="0" w:color="auto"/>
            </w:tcBorders>
            <w:vAlign w:val="center"/>
            <w:hideMark/>
          </w:tcPr>
          <w:p w14:paraId="5CF52CB4"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Date and mode of delivery</w:t>
            </w:r>
          </w:p>
        </w:tc>
        <w:tc>
          <w:tcPr>
            <w:tcW w:w="1525" w:type="dxa"/>
            <w:tcBorders>
              <w:top w:val="single" w:sz="4" w:space="0" w:color="auto"/>
              <w:left w:val="single" w:sz="4" w:space="0" w:color="auto"/>
              <w:bottom w:val="single" w:sz="4" w:space="0" w:color="auto"/>
              <w:right w:val="single" w:sz="4" w:space="0" w:color="auto"/>
            </w:tcBorders>
            <w:hideMark/>
          </w:tcPr>
          <w:p w14:paraId="44C0DFDD"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 xml:space="preserve">Number of Consultants </w:t>
            </w:r>
          </w:p>
        </w:tc>
      </w:tr>
      <w:tr w:rsidR="005A18B9" w:rsidRPr="005A18B9" w14:paraId="74ACD74B"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0F4AA4EE"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 xml:space="preserve">1. Presenting UK foresight toolkits at the </w:t>
            </w:r>
            <w:r w:rsidRPr="005A18B9">
              <w:rPr>
                <w:rFonts w:cs="Leelawadee UI"/>
                <w:b/>
                <w:bCs/>
                <w:szCs w:val="22"/>
              </w:rPr>
              <w:t>s</w:t>
            </w:r>
            <w:r w:rsidRPr="005A18B9">
              <w:rPr>
                <w:b/>
                <w:bCs/>
                <w:szCs w:val="22"/>
              </w:rPr>
              <w:t>takeholder meeting</w:t>
            </w:r>
          </w:p>
        </w:tc>
        <w:tc>
          <w:tcPr>
            <w:tcW w:w="4414" w:type="dxa"/>
            <w:tcBorders>
              <w:top w:val="single" w:sz="4" w:space="0" w:color="auto"/>
              <w:left w:val="single" w:sz="4" w:space="0" w:color="auto"/>
              <w:bottom w:val="single" w:sz="4" w:space="0" w:color="auto"/>
              <w:right w:val="single" w:sz="4" w:space="0" w:color="auto"/>
            </w:tcBorders>
            <w:hideMark/>
          </w:tcPr>
          <w:p w14:paraId="3DA5ECC4"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To support the toolkit development, the Supplier is to attend a stakeholder meeting to present the proposed foresight methodology and approach, and to further understand from the </w:t>
            </w:r>
            <w:proofErr w:type="gramStart"/>
            <w:r w:rsidRPr="005A18B9">
              <w:rPr>
                <w:rFonts w:cs="Leelawadee UI"/>
                <w:szCs w:val="22"/>
                <w:lang w:bidi="th-TH"/>
              </w:rPr>
              <w:t>policy-makers</w:t>
            </w:r>
            <w:proofErr w:type="gramEnd"/>
            <w:r w:rsidRPr="005A18B9">
              <w:rPr>
                <w:rFonts w:cs="Leelawadee UI"/>
                <w:szCs w:val="22"/>
                <w:lang w:bidi="th-TH"/>
              </w:rPr>
              <w:t xml:space="preserve"> on the national priorities and needs. This meeting will also be a chance to co-identify relevant stakeholders and organisations to participate in the February workshop.   </w:t>
            </w:r>
          </w:p>
        </w:tc>
        <w:tc>
          <w:tcPr>
            <w:tcW w:w="2489" w:type="dxa"/>
            <w:tcBorders>
              <w:top w:val="single" w:sz="4" w:space="0" w:color="auto"/>
              <w:left w:val="single" w:sz="4" w:space="0" w:color="auto"/>
              <w:bottom w:val="single" w:sz="4" w:space="0" w:color="auto"/>
              <w:right w:val="single" w:sz="4" w:space="0" w:color="auto"/>
            </w:tcBorders>
            <w:hideMark/>
          </w:tcPr>
          <w:p w14:paraId="2178FEC9"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Stakeholder meeting held on Wed 27 October 2021, 08.00 – 09.30 hrs UK time, via online meeting</w:t>
            </w:r>
          </w:p>
        </w:tc>
        <w:tc>
          <w:tcPr>
            <w:tcW w:w="1525" w:type="dxa"/>
            <w:tcBorders>
              <w:top w:val="single" w:sz="4" w:space="0" w:color="auto"/>
              <w:left w:val="single" w:sz="4" w:space="0" w:color="auto"/>
              <w:bottom w:val="single" w:sz="4" w:space="0" w:color="auto"/>
              <w:right w:val="single" w:sz="4" w:space="0" w:color="auto"/>
            </w:tcBorders>
            <w:hideMark/>
          </w:tcPr>
          <w:p w14:paraId="39D327DB"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Led by senior consultant and 2 consultants</w:t>
            </w:r>
          </w:p>
        </w:tc>
      </w:tr>
      <w:tr w:rsidR="005A18B9" w:rsidRPr="005A18B9" w14:paraId="59891CB7"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25CC572D"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2. Toolkit development</w:t>
            </w:r>
          </w:p>
        </w:tc>
        <w:tc>
          <w:tcPr>
            <w:tcW w:w="4414" w:type="dxa"/>
            <w:tcBorders>
              <w:top w:val="single" w:sz="4" w:space="0" w:color="auto"/>
              <w:left w:val="single" w:sz="4" w:space="0" w:color="auto"/>
              <w:bottom w:val="single" w:sz="4" w:space="0" w:color="auto"/>
              <w:right w:val="single" w:sz="4" w:space="0" w:color="auto"/>
            </w:tcBorders>
            <w:hideMark/>
          </w:tcPr>
          <w:p w14:paraId="2B3927CD"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Using obtained information from the stakeholder </w:t>
            </w:r>
            <w:proofErr w:type="gramStart"/>
            <w:r w:rsidRPr="005A18B9">
              <w:rPr>
                <w:rFonts w:cs="Leelawadee UI"/>
                <w:szCs w:val="22"/>
                <w:lang w:bidi="th-TH"/>
              </w:rPr>
              <w:t>meetings ,</w:t>
            </w:r>
            <w:proofErr w:type="gramEnd"/>
            <w:r w:rsidRPr="005A18B9">
              <w:rPr>
                <w:rFonts w:cs="Leelawadee UI"/>
                <w:szCs w:val="22"/>
                <w:lang w:bidi="th-TH"/>
              </w:rPr>
              <w:t xml:space="preserve"> the consultants are to develop the toolkits and report to the British Council and NSTDA.  </w:t>
            </w:r>
          </w:p>
        </w:tc>
        <w:tc>
          <w:tcPr>
            <w:tcW w:w="2489" w:type="dxa"/>
            <w:tcBorders>
              <w:top w:val="single" w:sz="4" w:space="0" w:color="auto"/>
              <w:left w:val="single" w:sz="4" w:space="0" w:color="auto"/>
              <w:bottom w:val="single" w:sz="4" w:space="0" w:color="auto"/>
              <w:right w:val="single" w:sz="4" w:space="0" w:color="auto"/>
            </w:tcBorders>
            <w:hideMark/>
          </w:tcPr>
          <w:p w14:paraId="4AB89DC4"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To be completed by Mid-November 2021. </w:t>
            </w:r>
          </w:p>
        </w:tc>
        <w:tc>
          <w:tcPr>
            <w:tcW w:w="1525" w:type="dxa"/>
            <w:tcBorders>
              <w:top w:val="single" w:sz="4" w:space="0" w:color="auto"/>
              <w:left w:val="single" w:sz="4" w:space="0" w:color="auto"/>
              <w:bottom w:val="single" w:sz="4" w:space="0" w:color="auto"/>
              <w:right w:val="single" w:sz="4" w:space="0" w:color="auto"/>
            </w:tcBorders>
            <w:hideMark/>
          </w:tcPr>
          <w:p w14:paraId="27894E2F"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Led by 2 consultants </w:t>
            </w:r>
          </w:p>
        </w:tc>
      </w:tr>
    </w:tbl>
    <w:p w14:paraId="7C1F88CB" w14:textId="77777777" w:rsidR="005A18B9" w:rsidRPr="005A18B9" w:rsidRDefault="005A18B9" w:rsidP="005A18B9">
      <w:pPr>
        <w:spacing w:line="276" w:lineRule="auto"/>
        <w:rPr>
          <w:rFonts w:cs="Leelawadee UI"/>
          <w:szCs w:val="22"/>
          <w:lang w:bidi="th-TH"/>
        </w:rPr>
      </w:pPr>
      <w:r w:rsidRPr="005A18B9">
        <w:rPr>
          <w:rFonts w:cs="Leelawadee UI"/>
          <w:b/>
          <w:bCs/>
          <w:szCs w:val="22"/>
          <w:lang w:bidi="th-TH"/>
        </w:rPr>
        <w:t xml:space="preserve">WP2: Capacity Building and toolkit dissemination – </w:t>
      </w:r>
      <w:r w:rsidRPr="005A18B9">
        <w:rPr>
          <w:rFonts w:cs="Leelawadee UI"/>
          <w:szCs w:val="22"/>
          <w:lang w:bidi="th-TH"/>
        </w:rPr>
        <w:t>The Supplier is to disseminate the developed toolkit and build capacity on foresight skills and effective use of the tools through a series of workshops. Workshop participants will include policy makers, members from academia, public and private sector, and a selected number of ASEAN members. It expected that by attending the workshops, roadmaps for BCG will be produced, analysed, and presented back to key stakeholders in each sector.</w:t>
      </w:r>
    </w:p>
    <w:p w14:paraId="4FCCBB93" w14:textId="77777777" w:rsidR="005A18B9" w:rsidRDefault="005A18B9" w:rsidP="005A18B9">
      <w:pPr>
        <w:spacing w:line="276" w:lineRule="auto"/>
        <w:rPr>
          <w:rFonts w:cs="Leelawadee UI"/>
          <w:szCs w:val="22"/>
          <w:lang w:bidi="th-TH"/>
        </w:rPr>
      </w:pPr>
    </w:p>
    <w:p w14:paraId="60CFDEA9" w14:textId="215833EC" w:rsidR="005A18B9" w:rsidRPr="005A18B9" w:rsidRDefault="005A18B9" w:rsidP="005A18B9">
      <w:pPr>
        <w:spacing w:line="276" w:lineRule="auto"/>
        <w:rPr>
          <w:rFonts w:cs="Leelawadee UI"/>
          <w:szCs w:val="22"/>
          <w:lang w:bidi="th-TH"/>
        </w:rPr>
      </w:pPr>
      <w:r w:rsidRPr="005A18B9">
        <w:rPr>
          <w:rFonts w:cs="Leelawadee UI"/>
          <w:szCs w:val="22"/>
          <w:lang w:bidi="th-TH"/>
        </w:rPr>
        <w:lastRenderedPageBreak/>
        <w:t xml:space="preserve">The following tasks under this WP2 will include: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4201"/>
        <w:gridCol w:w="2407"/>
        <w:gridCol w:w="1522"/>
      </w:tblGrid>
      <w:tr w:rsidR="005A18B9" w:rsidRPr="005A18B9" w14:paraId="5DF4AF54" w14:textId="77777777" w:rsidTr="005A18B9">
        <w:trPr>
          <w:trHeight w:val="510"/>
        </w:trPr>
        <w:tc>
          <w:tcPr>
            <w:tcW w:w="1710" w:type="dxa"/>
            <w:tcBorders>
              <w:top w:val="single" w:sz="4" w:space="0" w:color="auto"/>
              <w:left w:val="single" w:sz="4" w:space="0" w:color="auto"/>
              <w:bottom w:val="single" w:sz="4" w:space="0" w:color="auto"/>
              <w:right w:val="single" w:sz="4" w:space="0" w:color="auto"/>
            </w:tcBorders>
            <w:vAlign w:val="center"/>
            <w:hideMark/>
          </w:tcPr>
          <w:p w14:paraId="219DF09C"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Task</w:t>
            </w:r>
          </w:p>
        </w:tc>
        <w:tc>
          <w:tcPr>
            <w:tcW w:w="4414" w:type="dxa"/>
            <w:tcBorders>
              <w:top w:val="single" w:sz="4" w:space="0" w:color="auto"/>
              <w:left w:val="single" w:sz="4" w:space="0" w:color="auto"/>
              <w:bottom w:val="single" w:sz="4" w:space="0" w:color="auto"/>
              <w:right w:val="single" w:sz="4" w:space="0" w:color="auto"/>
            </w:tcBorders>
            <w:vAlign w:val="center"/>
            <w:hideMark/>
          </w:tcPr>
          <w:p w14:paraId="432443C6"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Details</w:t>
            </w:r>
          </w:p>
        </w:tc>
        <w:tc>
          <w:tcPr>
            <w:tcW w:w="2489" w:type="dxa"/>
            <w:tcBorders>
              <w:top w:val="single" w:sz="4" w:space="0" w:color="auto"/>
              <w:left w:val="single" w:sz="4" w:space="0" w:color="auto"/>
              <w:bottom w:val="single" w:sz="4" w:space="0" w:color="auto"/>
              <w:right w:val="single" w:sz="4" w:space="0" w:color="auto"/>
            </w:tcBorders>
            <w:vAlign w:val="center"/>
            <w:hideMark/>
          </w:tcPr>
          <w:p w14:paraId="6148D81F"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Date and mode of delivery</w:t>
            </w:r>
          </w:p>
        </w:tc>
        <w:tc>
          <w:tcPr>
            <w:tcW w:w="1525" w:type="dxa"/>
            <w:tcBorders>
              <w:top w:val="single" w:sz="4" w:space="0" w:color="auto"/>
              <w:left w:val="single" w:sz="4" w:space="0" w:color="auto"/>
              <w:bottom w:val="single" w:sz="4" w:space="0" w:color="auto"/>
              <w:right w:val="single" w:sz="4" w:space="0" w:color="auto"/>
            </w:tcBorders>
            <w:hideMark/>
          </w:tcPr>
          <w:p w14:paraId="42980B42"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 xml:space="preserve">Number of Consultants </w:t>
            </w:r>
          </w:p>
        </w:tc>
      </w:tr>
      <w:tr w:rsidR="005A18B9" w:rsidRPr="005A18B9" w14:paraId="12BF3369"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0EF706E1"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 xml:space="preserve">1. Introduction for potential participants </w:t>
            </w:r>
          </w:p>
        </w:tc>
        <w:tc>
          <w:tcPr>
            <w:tcW w:w="4414" w:type="dxa"/>
            <w:tcBorders>
              <w:top w:val="single" w:sz="4" w:space="0" w:color="auto"/>
              <w:left w:val="single" w:sz="4" w:space="0" w:color="auto"/>
              <w:bottom w:val="single" w:sz="4" w:space="0" w:color="auto"/>
              <w:right w:val="single" w:sz="4" w:space="0" w:color="auto"/>
            </w:tcBorders>
            <w:hideMark/>
          </w:tcPr>
          <w:p w14:paraId="35CFA5A7"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The Supplier is to plan and deliver a brief introduction to the proposed foresight methodology and approach to invited participants (approx. 30 people). The meeting will be used to determine potential participants to participate in the workshop. </w:t>
            </w:r>
          </w:p>
        </w:tc>
        <w:tc>
          <w:tcPr>
            <w:tcW w:w="2489" w:type="dxa"/>
            <w:tcBorders>
              <w:top w:val="single" w:sz="4" w:space="0" w:color="auto"/>
              <w:left w:val="single" w:sz="4" w:space="0" w:color="auto"/>
              <w:bottom w:val="single" w:sz="4" w:space="0" w:color="auto"/>
              <w:right w:val="single" w:sz="4" w:space="0" w:color="auto"/>
            </w:tcBorders>
            <w:hideMark/>
          </w:tcPr>
          <w:p w14:paraId="7A12CF2E"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Meeting held immediately after the stakeholder meeting on Wed 27 October 2021, 10.00 – 12.00 hrs UK time, via online meeting</w:t>
            </w:r>
          </w:p>
        </w:tc>
        <w:tc>
          <w:tcPr>
            <w:tcW w:w="1525" w:type="dxa"/>
            <w:tcBorders>
              <w:top w:val="single" w:sz="4" w:space="0" w:color="auto"/>
              <w:left w:val="single" w:sz="4" w:space="0" w:color="auto"/>
              <w:bottom w:val="single" w:sz="4" w:space="0" w:color="auto"/>
              <w:right w:val="single" w:sz="4" w:space="0" w:color="auto"/>
            </w:tcBorders>
            <w:hideMark/>
          </w:tcPr>
          <w:p w14:paraId="3EA31DE8" w14:textId="77777777" w:rsidR="005A18B9" w:rsidRPr="005A18B9" w:rsidRDefault="005A18B9" w:rsidP="005A18B9">
            <w:pPr>
              <w:spacing w:before="0" w:line="276" w:lineRule="auto"/>
              <w:jc w:val="left"/>
              <w:rPr>
                <w:rFonts w:cs="Leelawadee UI"/>
                <w:szCs w:val="22"/>
                <w:cs/>
                <w:lang w:bidi="th-TH"/>
              </w:rPr>
            </w:pPr>
            <w:r w:rsidRPr="005A18B9">
              <w:rPr>
                <w:rFonts w:cs="Leelawadee UI"/>
                <w:szCs w:val="22"/>
                <w:lang w:bidi="th-TH"/>
              </w:rPr>
              <w:t>Led by 2 consultants</w:t>
            </w:r>
          </w:p>
        </w:tc>
      </w:tr>
      <w:tr w:rsidR="005A18B9" w:rsidRPr="005A18B9" w14:paraId="70A2CD5C"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4C240CB9"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 xml:space="preserve">2. Orientation for selected participants </w:t>
            </w:r>
          </w:p>
        </w:tc>
        <w:tc>
          <w:tcPr>
            <w:tcW w:w="4414" w:type="dxa"/>
            <w:tcBorders>
              <w:top w:val="single" w:sz="4" w:space="0" w:color="auto"/>
              <w:left w:val="single" w:sz="4" w:space="0" w:color="auto"/>
              <w:bottom w:val="single" w:sz="4" w:space="0" w:color="auto"/>
              <w:right w:val="single" w:sz="4" w:space="0" w:color="auto"/>
            </w:tcBorders>
            <w:hideMark/>
          </w:tcPr>
          <w:p w14:paraId="1E08FD49"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The Supplier is to plan and deliver an orientation session for selected 40-50 participants on how the developed toolkit is used, and an introductory session to the upcoming workshop. It is expected that the participants will have pre-workshop assignment to complete and submit before the workshop. </w:t>
            </w:r>
          </w:p>
        </w:tc>
        <w:tc>
          <w:tcPr>
            <w:tcW w:w="2489" w:type="dxa"/>
            <w:tcBorders>
              <w:top w:val="single" w:sz="4" w:space="0" w:color="auto"/>
              <w:left w:val="single" w:sz="4" w:space="0" w:color="auto"/>
              <w:bottom w:val="single" w:sz="4" w:space="0" w:color="auto"/>
              <w:right w:val="single" w:sz="4" w:space="0" w:color="auto"/>
            </w:tcBorders>
            <w:hideMark/>
          </w:tcPr>
          <w:p w14:paraId="59E99875"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Mon 13 December 2021, for 1.5 hour, via online meeting</w:t>
            </w:r>
          </w:p>
        </w:tc>
        <w:tc>
          <w:tcPr>
            <w:tcW w:w="1525" w:type="dxa"/>
            <w:tcBorders>
              <w:top w:val="single" w:sz="4" w:space="0" w:color="auto"/>
              <w:left w:val="single" w:sz="4" w:space="0" w:color="auto"/>
              <w:bottom w:val="single" w:sz="4" w:space="0" w:color="auto"/>
              <w:right w:val="single" w:sz="4" w:space="0" w:color="auto"/>
            </w:tcBorders>
            <w:hideMark/>
          </w:tcPr>
          <w:p w14:paraId="718AB085"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Led by 2 consultants </w:t>
            </w:r>
          </w:p>
        </w:tc>
      </w:tr>
      <w:tr w:rsidR="005A18B9" w:rsidRPr="005A18B9" w14:paraId="099A2D8D"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30AD23C1"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3. Foresight Workshop delivery (F2</w:t>
            </w:r>
            <w:proofErr w:type="gramStart"/>
            <w:r w:rsidRPr="005A18B9">
              <w:rPr>
                <w:rFonts w:cs="Leelawadee UI"/>
                <w:b/>
                <w:bCs/>
                <w:szCs w:val="22"/>
                <w:lang w:bidi="th-TH"/>
              </w:rPr>
              <w:t>F)*</w:t>
            </w:r>
            <w:proofErr w:type="gramEnd"/>
          </w:p>
        </w:tc>
        <w:tc>
          <w:tcPr>
            <w:tcW w:w="4414" w:type="dxa"/>
            <w:tcBorders>
              <w:top w:val="single" w:sz="4" w:space="0" w:color="auto"/>
              <w:left w:val="single" w:sz="4" w:space="0" w:color="auto"/>
              <w:bottom w:val="single" w:sz="4" w:space="0" w:color="auto"/>
              <w:right w:val="single" w:sz="4" w:space="0" w:color="auto"/>
            </w:tcBorders>
            <w:hideMark/>
          </w:tcPr>
          <w:p w14:paraId="7D417B27"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The Supplier is to plan and deliver a 3-day workshop for selected 40-50 participants on foresight skills for strategic planning, and implementing the toolkit to develop a roadmap during the workshop in 4 BCG sectors. There will be a preparation session with NSTDA and British Council prior to workshop day. </w:t>
            </w:r>
          </w:p>
        </w:tc>
        <w:tc>
          <w:tcPr>
            <w:tcW w:w="2489" w:type="dxa"/>
            <w:tcBorders>
              <w:top w:val="single" w:sz="4" w:space="0" w:color="auto"/>
              <w:left w:val="single" w:sz="4" w:space="0" w:color="auto"/>
              <w:bottom w:val="single" w:sz="4" w:space="0" w:color="auto"/>
              <w:right w:val="single" w:sz="4" w:space="0" w:color="auto"/>
            </w:tcBorders>
          </w:tcPr>
          <w:p w14:paraId="541E716A"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Preparation session:  Wed 9 February </w:t>
            </w:r>
          </w:p>
          <w:p w14:paraId="2EF1DF3A" w14:textId="77777777" w:rsidR="005A18B9" w:rsidRPr="005A18B9" w:rsidRDefault="005A18B9" w:rsidP="005A18B9">
            <w:pPr>
              <w:spacing w:before="0" w:line="276" w:lineRule="auto"/>
              <w:jc w:val="left"/>
              <w:rPr>
                <w:rFonts w:cs="Leelawadee UI"/>
                <w:szCs w:val="22"/>
                <w:lang w:bidi="th-TH"/>
              </w:rPr>
            </w:pPr>
          </w:p>
          <w:p w14:paraId="100D873E"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Workshop Delivery: Thu 10 – Sat 12 February 2021, 09.00 – 17.00 hrs TH time, via face-to-face workshop in Thailand.</w:t>
            </w:r>
          </w:p>
        </w:tc>
        <w:tc>
          <w:tcPr>
            <w:tcW w:w="1525" w:type="dxa"/>
            <w:tcBorders>
              <w:top w:val="single" w:sz="4" w:space="0" w:color="auto"/>
              <w:left w:val="single" w:sz="4" w:space="0" w:color="auto"/>
              <w:bottom w:val="single" w:sz="4" w:space="0" w:color="auto"/>
              <w:right w:val="single" w:sz="4" w:space="0" w:color="auto"/>
            </w:tcBorders>
            <w:hideMark/>
          </w:tcPr>
          <w:p w14:paraId="720A20D3"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Led by 2 consultants</w:t>
            </w:r>
          </w:p>
        </w:tc>
      </w:tr>
      <w:tr w:rsidR="005A18B9" w:rsidRPr="005A18B9" w14:paraId="63744E03"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7AD2271A"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4. Finalising Roadmap*</w:t>
            </w:r>
          </w:p>
        </w:tc>
        <w:tc>
          <w:tcPr>
            <w:tcW w:w="4414" w:type="dxa"/>
            <w:tcBorders>
              <w:top w:val="single" w:sz="4" w:space="0" w:color="auto"/>
              <w:left w:val="single" w:sz="4" w:space="0" w:color="auto"/>
              <w:bottom w:val="single" w:sz="4" w:space="0" w:color="auto"/>
              <w:right w:val="single" w:sz="4" w:space="0" w:color="auto"/>
            </w:tcBorders>
            <w:hideMark/>
          </w:tcPr>
          <w:p w14:paraId="6B330914"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The Supplier is to support in analysing the feasibility of the developed roadmap, and preparation for dissemination to the policy maker and key stakeholders. The session will have a smaller selected number of key participants representing each BCG sector.</w:t>
            </w:r>
          </w:p>
        </w:tc>
        <w:tc>
          <w:tcPr>
            <w:tcW w:w="2489" w:type="dxa"/>
            <w:tcBorders>
              <w:top w:val="single" w:sz="4" w:space="0" w:color="auto"/>
              <w:left w:val="single" w:sz="4" w:space="0" w:color="auto"/>
              <w:bottom w:val="single" w:sz="4" w:space="0" w:color="auto"/>
              <w:right w:val="single" w:sz="4" w:space="0" w:color="auto"/>
            </w:tcBorders>
            <w:hideMark/>
          </w:tcPr>
          <w:p w14:paraId="1FF02F31"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Mon 14 - Tue 15 February 2021, 09.00 – 17.00 hrs TH time, via face-to-face workshop in Thailand.</w:t>
            </w:r>
          </w:p>
        </w:tc>
        <w:tc>
          <w:tcPr>
            <w:tcW w:w="1525" w:type="dxa"/>
            <w:tcBorders>
              <w:top w:val="single" w:sz="4" w:space="0" w:color="auto"/>
              <w:left w:val="single" w:sz="4" w:space="0" w:color="auto"/>
              <w:bottom w:val="single" w:sz="4" w:space="0" w:color="auto"/>
              <w:right w:val="single" w:sz="4" w:space="0" w:color="auto"/>
            </w:tcBorders>
            <w:hideMark/>
          </w:tcPr>
          <w:p w14:paraId="5C4F2611"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Led by 2 consultants</w:t>
            </w:r>
          </w:p>
        </w:tc>
      </w:tr>
      <w:tr w:rsidR="005A18B9" w:rsidRPr="005A18B9" w14:paraId="4777BD3E" w14:textId="77777777" w:rsidTr="005A18B9">
        <w:tc>
          <w:tcPr>
            <w:tcW w:w="1710" w:type="dxa"/>
            <w:tcBorders>
              <w:top w:val="single" w:sz="4" w:space="0" w:color="auto"/>
              <w:left w:val="single" w:sz="4" w:space="0" w:color="auto"/>
              <w:bottom w:val="single" w:sz="4" w:space="0" w:color="auto"/>
              <w:right w:val="single" w:sz="4" w:space="0" w:color="auto"/>
            </w:tcBorders>
            <w:hideMark/>
          </w:tcPr>
          <w:p w14:paraId="7FE1C23F"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5. Roadmap dissemination*</w:t>
            </w:r>
          </w:p>
        </w:tc>
        <w:tc>
          <w:tcPr>
            <w:tcW w:w="4414" w:type="dxa"/>
            <w:tcBorders>
              <w:top w:val="single" w:sz="4" w:space="0" w:color="auto"/>
              <w:left w:val="single" w:sz="4" w:space="0" w:color="auto"/>
              <w:bottom w:val="single" w:sz="4" w:space="0" w:color="auto"/>
              <w:right w:val="single" w:sz="4" w:space="0" w:color="auto"/>
            </w:tcBorders>
            <w:hideMark/>
          </w:tcPr>
          <w:p w14:paraId="12E5E014"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The Supplier is to participate in the dissemination event to share the results and feedback of the workshop, and the developed roadmap through a roundtable discussion with </w:t>
            </w:r>
            <w:proofErr w:type="gramStart"/>
            <w:r w:rsidRPr="005A18B9">
              <w:rPr>
                <w:rFonts w:cs="Leelawadee UI"/>
                <w:szCs w:val="22"/>
                <w:lang w:bidi="th-TH"/>
              </w:rPr>
              <w:t>policy-makers</w:t>
            </w:r>
            <w:proofErr w:type="gramEnd"/>
            <w:r w:rsidRPr="005A18B9">
              <w:rPr>
                <w:rFonts w:cs="Leelawadee UI"/>
                <w:szCs w:val="22"/>
                <w:lang w:bidi="th-TH"/>
              </w:rPr>
              <w:t xml:space="preserve"> and key stakeholders.  There may be a VDO interview with the Supplier.   </w:t>
            </w:r>
          </w:p>
        </w:tc>
        <w:tc>
          <w:tcPr>
            <w:tcW w:w="2489" w:type="dxa"/>
            <w:tcBorders>
              <w:top w:val="single" w:sz="4" w:space="0" w:color="auto"/>
              <w:left w:val="single" w:sz="4" w:space="0" w:color="auto"/>
              <w:bottom w:val="single" w:sz="4" w:space="0" w:color="auto"/>
              <w:right w:val="single" w:sz="4" w:space="0" w:color="auto"/>
            </w:tcBorders>
            <w:hideMark/>
          </w:tcPr>
          <w:p w14:paraId="17D2160A"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Wed 16 February 2021, 09.00 – 17.00 hrs TH time, via blended delivery with the consultants remain onsite in Thailand.</w:t>
            </w:r>
          </w:p>
        </w:tc>
        <w:tc>
          <w:tcPr>
            <w:tcW w:w="1525" w:type="dxa"/>
            <w:tcBorders>
              <w:top w:val="single" w:sz="4" w:space="0" w:color="auto"/>
              <w:left w:val="single" w:sz="4" w:space="0" w:color="auto"/>
              <w:bottom w:val="single" w:sz="4" w:space="0" w:color="auto"/>
              <w:right w:val="single" w:sz="4" w:space="0" w:color="auto"/>
            </w:tcBorders>
            <w:hideMark/>
          </w:tcPr>
          <w:p w14:paraId="71A44F01"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Led by senior consultant </w:t>
            </w:r>
          </w:p>
        </w:tc>
      </w:tr>
    </w:tbl>
    <w:p w14:paraId="57A3D24E" w14:textId="77777777" w:rsidR="005A18B9" w:rsidRPr="005A18B9" w:rsidRDefault="005A18B9" w:rsidP="005A18B9">
      <w:pPr>
        <w:spacing w:line="276" w:lineRule="auto"/>
        <w:rPr>
          <w:rFonts w:cs="Leelawadee UI"/>
          <w:szCs w:val="22"/>
          <w:lang w:bidi="th-TH"/>
        </w:rPr>
      </w:pPr>
      <w:r w:rsidRPr="005A18B9">
        <w:rPr>
          <w:rFonts w:cs="Leelawadee UI"/>
          <w:b/>
          <w:bCs/>
          <w:szCs w:val="22"/>
          <w:lang w:bidi="th-TH"/>
        </w:rPr>
        <w:t>*Remarks:</w:t>
      </w:r>
      <w:r w:rsidRPr="005A18B9">
        <w:rPr>
          <w:rFonts w:cs="Leelawadee UI"/>
          <w:szCs w:val="22"/>
          <w:lang w:bidi="th-TH"/>
        </w:rPr>
        <w:t xml:space="preserve"> Due to the continuation of * activities, it is expected that the consultants will </w:t>
      </w:r>
      <w:r w:rsidRPr="005A18B9">
        <w:rPr>
          <w:rFonts w:cs="Leelawadee UI"/>
          <w:b/>
          <w:bCs/>
          <w:szCs w:val="22"/>
          <w:lang w:bidi="th-TH"/>
        </w:rPr>
        <w:t>travel to Thailand on 2 – 17 February 2021</w:t>
      </w:r>
      <w:r w:rsidRPr="005A18B9">
        <w:rPr>
          <w:rFonts w:cs="Leelawadee UI"/>
          <w:szCs w:val="22"/>
          <w:lang w:bidi="th-TH"/>
        </w:rPr>
        <w:t xml:space="preserve">, to cover for 7-day quarantine period prior to the activity, as well as having taken relevant Covid-19 vaccination prior to entering Thailand. </w:t>
      </w:r>
    </w:p>
    <w:p w14:paraId="42C7F1EC" w14:textId="77777777" w:rsidR="005A18B9" w:rsidRPr="005A18B9" w:rsidRDefault="005A18B9" w:rsidP="005A18B9">
      <w:pPr>
        <w:spacing w:before="0" w:line="276" w:lineRule="auto"/>
        <w:rPr>
          <w:rFonts w:cs="Leelawadee UI"/>
          <w:b/>
          <w:bCs/>
          <w:szCs w:val="22"/>
          <w:lang w:bidi="th-TH"/>
        </w:rPr>
      </w:pPr>
    </w:p>
    <w:p w14:paraId="0B98C0AE" w14:textId="77777777" w:rsidR="005A18B9" w:rsidRPr="005A18B9" w:rsidRDefault="005A18B9" w:rsidP="005A18B9">
      <w:pPr>
        <w:spacing w:line="276" w:lineRule="auto"/>
        <w:rPr>
          <w:rFonts w:cs="Leelawadee UI"/>
          <w:b/>
          <w:bCs/>
          <w:szCs w:val="22"/>
          <w:lang w:bidi="th-TH"/>
        </w:rPr>
      </w:pPr>
      <w:r w:rsidRPr="005A18B9">
        <w:rPr>
          <w:rFonts w:cs="Leelawadee UI"/>
          <w:b/>
          <w:bCs/>
          <w:szCs w:val="22"/>
          <w:lang w:bidi="th-TH"/>
        </w:rPr>
        <w:lastRenderedPageBreak/>
        <w:t xml:space="preserve">WP3: Documentation and providing further guidance and support to the Roadmap </w:t>
      </w:r>
    </w:p>
    <w:p w14:paraId="7E2493CC" w14:textId="77777777" w:rsidR="005A18B9" w:rsidRPr="005A18B9" w:rsidRDefault="005A18B9" w:rsidP="005A18B9">
      <w:pPr>
        <w:spacing w:line="276" w:lineRule="auto"/>
        <w:rPr>
          <w:rFonts w:cs="Leelawadee UI"/>
          <w:szCs w:val="22"/>
          <w:lang w:bidi="th-TH"/>
        </w:rPr>
      </w:pPr>
      <w:r w:rsidRPr="005A18B9">
        <w:rPr>
          <w:rFonts w:cs="Leelawadee UI"/>
          <w:szCs w:val="22"/>
          <w:lang w:bidi="th-TH"/>
        </w:rPr>
        <w:t xml:space="preserve">The following tasks under this WP will include: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344"/>
        <w:gridCol w:w="2431"/>
        <w:gridCol w:w="1488"/>
      </w:tblGrid>
      <w:tr w:rsidR="005A18B9" w:rsidRPr="005A18B9" w14:paraId="34E9F2C6" w14:textId="77777777" w:rsidTr="005A18B9">
        <w:trPr>
          <w:trHeight w:val="510"/>
        </w:trPr>
        <w:tc>
          <w:tcPr>
            <w:tcW w:w="1651" w:type="dxa"/>
            <w:tcBorders>
              <w:top w:val="single" w:sz="4" w:space="0" w:color="auto"/>
              <w:left w:val="single" w:sz="4" w:space="0" w:color="auto"/>
              <w:bottom w:val="single" w:sz="4" w:space="0" w:color="auto"/>
              <w:right w:val="single" w:sz="4" w:space="0" w:color="auto"/>
            </w:tcBorders>
            <w:vAlign w:val="center"/>
            <w:hideMark/>
          </w:tcPr>
          <w:p w14:paraId="5C46E8FA"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Task</w:t>
            </w:r>
          </w:p>
        </w:tc>
        <w:tc>
          <w:tcPr>
            <w:tcW w:w="4380" w:type="dxa"/>
            <w:tcBorders>
              <w:top w:val="single" w:sz="4" w:space="0" w:color="auto"/>
              <w:left w:val="single" w:sz="4" w:space="0" w:color="auto"/>
              <w:bottom w:val="single" w:sz="4" w:space="0" w:color="auto"/>
              <w:right w:val="single" w:sz="4" w:space="0" w:color="auto"/>
            </w:tcBorders>
            <w:vAlign w:val="center"/>
            <w:hideMark/>
          </w:tcPr>
          <w:p w14:paraId="2764A001"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Details</w:t>
            </w:r>
          </w:p>
        </w:tc>
        <w:tc>
          <w:tcPr>
            <w:tcW w:w="2451" w:type="dxa"/>
            <w:tcBorders>
              <w:top w:val="single" w:sz="4" w:space="0" w:color="auto"/>
              <w:left w:val="single" w:sz="4" w:space="0" w:color="auto"/>
              <w:bottom w:val="single" w:sz="4" w:space="0" w:color="auto"/>
              <w:right w:val="single" w:sz="4" w:space="0" w:color="auto"/>
            </w:tcBorders>
            <w:vAlign w:val="center"/>
            <w:hideMark/>
          </w:tcPr>
          <w:p w14:paraId="5A5B1064"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Date and mode of delivery</w:t>
            </w:r>
          </w:p>
        </w:tc>
        <w:tc>
          <w:tcPr>
            <w:tcW w:w="1430" w:type="dxa"/>
            <w:tcBorders>
              <w:top w:val="single" w:sz="4" w:space="0" w:color="auto"/>
              <w:left w:val="single" w:sz="4" w:space="0" w:color="auto"/>
              <w:bottom w:val="single" w:sz="4" w:space="0" w:color="auto"/>
              <w:right w:val="single" w:sz="4" w:space="0" w:color="auto"/>
            </w:tcBorders>
            <w:hideMark/>
          </w:tcPr>
          <w:p w14:paraId="7290B7D9"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 xml:space="preserve">Number of Consultants </w:t>
            </w:r>
          </w:p>
        </w:tc>
      </w:tr>
      <w:tr w:rsidR="005A18B9" w:rsidRPr="005A18B9" w14:paraId="1ED5039A" w14:textId="77777777" w:rsidTr="005A18B9">
        <w:tc>
          <w:tcPr>
            <w:tcW w:w="1651" w:type="dxa"/>
            <w:tcBorders>
              <w:top w:val="single" w:sz="4" w:space="0" w:color="auto"/>
              <w:left w:val="single" w:sz="4" w:space="0" w:color="auto"/>
              <w:bottom w:val="single" w:sz="4" w:space="0" w:color="auto"/>
              <w:right w:val="single" w:sz="4" w:space="0" w:color="auto"/>
            </w:tcBorders>
            <w:hideMark/>
          </w:tcPr>
          <w:p w14:paraId="0E1361FC"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1. Final report submission</w:t>
            </w:r>
          </w:p>
        </w:tc>
        <w:tc>
          <w:tcPr>
            <w:tcW w:w="4380" w:type="dxa"/>
            <w:tcBorders>
              <w:top w:val="single" w:sz="4" w:space="0" w:color="auto"/>
              <w:left w:val="single" w:sz="4" w:space="0" w:color="auto"/>
              <w:bottom w:val="single" w:sz="4" w:space="0" w:color="auto"/>
              <w:right w:val="single" w:sz="4" w:space="0" w:color="auto"/>
            </w:tcBorders>
            <w:hideMark/>
          </w:tcPr>
          <w:p w14:paraId="18A2C209" w14:textId="77777777" w:rsidR="005A18B9" w:rsidRPr="005A18B9" w:rsidRDefault="005A18B9" w:rsidP="005A18B9">
            <w:pPr>
              <w:spacing w:before="0" w:line="276" w:lineRule="auto"/>
              <w:jc w:val="left"/>
              <w:rPr>
                <w:rFonts w:cs="Leelawadee UI"/>
                <w:szCs w:val="22"/>
                <w:lang w:bidi="th-TH"/>
              </w:rPr>
            </w:pPr>
            <w:r w:rsidRPr="005A18B9">
              <w:rPr>
                <w:szCs w:val="22"/>
              </w:rPr>
              <w:t>The Supplier is to summarise the key outcomes from the Project, and provide recommendations for NSTDA and British Council on future directions in a narrative report format.</w:t>
            </w:r>
          </w:p>
        </w:tc>
        <w:tc>
          <w:tcPr>
            <w:tcW w:w="2451" w:type="dxa"/>
            <w:tcBorders>
              <w:top w:val="single" w:sz="4" w:space="0" w:color="auto"/>
              <w:left w:val="single" w:sz="4" w:space="0" w:color="auto"/>
              <w:bottom w:val="single" w:sz="4" w:space="0" w:color="auto"/>
              <w:right w:val="single" w:sz="4" w:space="0" w:color="auto"/>
            </w:tcBorders>
          </w:tcPr>
          <w:p w14:paraId="36FAA3AB"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Report due 30 days after the February training. </w:t>
            </w:r>
          </w:p>
          <w:p w14:paraId="4865AD23" w14:textId="77777777" w:rsidR="005A18B9" w:rsidRPr="005A18B9" w:rsidRDefault="005A18B9" w:rsidP="005A18B9">
            <w:pPr>
              <w:spacing w:before="0" w:line="276" w:lineRule="auto"/>
              <w:jc w:val="left"/>
              <w:rPr>
                <w:rFonts w:cs="Leelawadee UI"/>
                <w:szCs w:val="22"/>
                <w:lang w:bidi="th-TH"/>
              </w:rPr>
            </w:pPr>
          </w:p>
        </w:tc>
        <w:tc>
          <w:tcPr>
            <w:tcW w:w="1430" w:type="dxa"/>
            <w:tcBorders>
              <w:top w:val="single" w:sz="4" w:space="0" w:color="auto"/>
              <w:left w:val="single" w:sz="4" w:space="0" w:color="auto"/>
              <w:bottom w:val="single" w:sz="4" w:space="0" w:color="auto"/>
              <w:right w:val="single" w:sz="4" w:space="0" w:color="auto"/>
            </w:tcBorders>
            <w:hideMark/>
          </w:tcPr>
          <w:p w14:paraId="7FB005A2"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Led by 2 consultants</w:t>
            </w:r>
          </w:p>
        </w:tc>
      </w:tr>
      <w:tr w:rsidR="005A18B9" w:rsidRPr="005A18B9" w14:paraId="02958AE7" w14:textId="77777777" w:rsidTr="005A18B9">
        <w:tc>
          <w:tcPr>
            <w:tcW w:w="1651" w:type="dxa"/>
            <w:tcBorders>
              <w:top w:val="single" w:sz="4" w:space="0" w:color="auto"/>
              <w:left w:val="single" w:sz="4" w:space="0" w:color="auto"/>
              <w:bottom w:val="single" w:sz="4" w:space="0" w:color="auto"/>
              <w:right w:val="single" w:sz="4" w:space="0" w:color="auto"/>
            </w:tcBorders>
            <w:hideMark/>
          </w:tcPr>
          <w:p w14:paraId="6CF7E636" w14:textId="77777777" w:rsidR="005A18B9" w:rsidRPr="005A18B9" w:rsidRDefault="005A18B9" w:rsidP="005A18B9">
            <w:pPr>
              <w:spacing w:before="0" w:line="276" w:lineRule="auto"/>
              <w:jc w:val="left"/>
              <w:rPr>
                <w:rFonts w:cs="Leelawadee UI"/>
                <w:b/>
                <w:bCs/>
                <w:szCs w:val="22"/>
                <w:lang w:bidi="th-TH"/>
              </w:rPr>
            </w:pPr>
            <w:r w:rsidRPr="005A18B9">
              <w:rPr>
                <w:rFonts w:cs="Leelawadee UI"/>
                <w:b/>
                <w:bCs/>
                <w:szCs w:val="22"/>
                <w:lang w:bidi="th-TH"/>
              </w:rPr>
              <w:t>2. Further guidance and support to the Roadmap</w:t>
            </w:r>
          </w:p>
        </w:tc>
        <w:tc>
          <w:tcPr>
            <w:tcW w:w="4380" w:type="dxa"/>
            <w:tcBorders>
              <w:top w:val="single" w:sz="4" w:space="0" w:color="auto"/>
              <w:left w:val="single" w:sz="4" w:space="0" w:color="auto"/>
              <w:bottom w:val="single" w:sz="4" w:space="0" w:color="auto"/>
              <w:right w:val="single" w:sz="4" w:space="0" w:color="auto"/>
            </w:tcBorders>
            <w:hideMark/>
          </w:tcPr>
          <w:p w14:paraId="7D479974" w14:textId="77777777" w:rsidR="005A18B9" w:rsidRPr="005A18B9" w:rsidRDefault="005A18B9" w:rsidP="005A18B9">
            <w:pPr>
              <w:spacing w:before="0" w:line="276" w:lineRule="auto"/>
              <w:jc w:val="left"/>
              <w:rPr>
                <w:szCs w:val="22"/>
              </w:rPr>
            </w:pPr>
            <w:r w:rsidRPr="005A18B9">
              <w:rPr>
                <w:szCs w:val="22"/>
              </w:rPr>
              <w:t xml:space="preserve">The Supplier is to provide any guidance after the submission of the report and advice regarding the Roadmap to British Council and NSTDA. </w:t>
            </w:r>
          </w:p>
        </w:tc>
        <w:tc>
          <w:tcPr>
            <w:tcW w:w="2451" w:type="dxa"/>
            <w:tcBorders>
              <w:top w:val="single" w:sz="4" w:space="0" w:color="auto"/>
              <w:left w:val="single" w:sz="4" w:space="0" w:color="auto"/>
              <w:bottom w:val="single" w:sz="4" w:space="0" w:color="auto"/>
              <w:right w:val="single" w:sz="4" w:space="0" w:color="auto"/>
            </w:tcBorders>
            <w:hideMark/>
          </w:tcPr>
          <w:p w14:paraId="3ED6F073"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 xml:space="preserve">Support and guidance to be provided until 30 June 2021, through emails and calls. </w:t>
            </w:r>
          </w:p>
        </w:tc>
        <w:tc>
          <w:tcPr>
            <w:tcW w:w="1430" w:type="dxa"/>
            <w:tcBorders>
              <w:top w:val="single" w:sz="4" w:space="0" w:color="auto"/>
              <w:left w:val="single" w:sz="4" w:space="0" w:color="auto"/>
              <w:bottom w:val="single" w:sz="4" w:space="0" w:color="auto"/>
              <w:right w:val="single" w:sz="4" w:space="0" w:color="auto"/>
            </w:tcBorders>
            <w:hideMark/>
          </w:tcPr>
          <w:p w14:paraId="56D3489D" w14:textId="77777777" w:rsidR="005A18B9" w:rsidRPr="005A18B9" w:rsidRDefault="005A18B9" w:rsidP="005A18B9">
            <w:pPr>
              <w:spacing w:before="0" w:line="276" w:lineRule="auto"/>
              <w:jc w:val="left"/>
              <w:rPr>
                <w:rFonts w:cs="Leelawadee UI"/>
                <w:szCs w:val="22"/>
                <w:lang w:bidi="th-TH"/>
              </w:rPr>
            </w:pPr>
            <w:r w:rsidRPr="005A18B9">
              <w:rPr>
                <w:rFonts w:cs="Leelawadee UI"/>
                <w:szCs w:val="22"/>
                <w:lang w:bidi="th-TH"/>
              </w:rPr>
              <w:t>Led by 2 consultants</w:t>
            </w:r>
          </w:p>
        </w:tc>
      </w:tr>
    </w:tbl>
    <w:p w14:paraId="3DFE678E" w14:textId="77777777" w:rsidR="005A18B9" w:rsidRPr="005A18B9" w:rsidRDefault="005A18B9" w:rsidP="005A18B9">
      <w:pPr>
        <w:spacing w:line="276" w:lineRule="auto"/>
        <w:textAlignment w:val="baseline"/>
        <w:rPr>
          <w:b/>
          <w:bCs/>
          <w:szCs w:val="22"/>
        </w:rPr>
      </w:pPr>
      <w:r w:rsidRPr="005A18B9">
        <w:rPr>
          <w:b/>
          <w:bCs/>
          <w:szCs w:val="22"/>
        </w:rPr>
        <w:t>A summary of the WP and related activities in chronological order is as per below:</w:t>
      </w:r>
    </w:p>
    <w:p w14:paraId="63D78FCC" w14:textId="77777777" w:rsidR="005A18B9" w:rsidRPr="005A18B9" w:rsidRDefault="005A18B9" w:rsidP="005A18B9">
      <w:pPr>
        <w:pStyle w:val="ListParagraph"/>
        <w:numPr>
          <w:ilvl w:val="0"/>
          <w:numId w:val="20"/>
        </w:numPr>
        <w:spacing w:after="0"/>
        <w:rPr>
          <w:sz w:val="22"/>
          <w:szCs w:val="22"/>
        </w:rPr>
      </w:pPr>
      <w:r w:rsidRPr="005A18B9">
        <w:rPr>
          <w:sz w:val="22"/>
          <w:szCs w:val="22"/>
        </w:rPr>
        <w:t xml:space="preserve">Stakeholder meeting and </w:t>
      </w:r>
      <w:r w:rsidRPr="005A18B9">
        <w:rPr>
          <w:rFonts w:cs="Leelawadee UI"/>
          <w:sz w:val="22"/>
          <w:szCs w:val="22"/>
          <w:lang w:bidi="th-TH"/>
        </w:rPr>
        <w:t>Introduction for potential participants</w:t>
      </w:r>
      <w:r w:rsidRPr="005A18B9">
        <w:rPr>
          <w:sz w:val="22"/>
          <w:szCs w:val="22"/>
        </w:rPr>
        <w:t>: 27 October 2021</w:t>
      </w:r>
    </w:p>
    <w:p w14:paraId="5FB47474" w14:textId="77777777" w:rsidR="005A18B9" w:rsidRPr="005A18B9" w:rsidRDefault="005A18B9" w:rsidP="005A18B9">
      <w:pPr>
        <w:pStyle w:val="ListParagraph"/>
        <w:numPr>
          <w:ilvl w:val="0"/>
          <w:numId w:val="20"/>
        </w:numPr>
        <w:spacing w:after="0"/>
        <w:rPr>
          <w:sz w:val="22"/>
          <w:szCs w:val="22"/>
        </w:rPr>
      </w:pPr>
      <w:r w:rsidRPr="005A18B9">
        <w:rPr>
          <w:sz w:val="22"/>
          <w:szCs w:val="22"/>
        </w:rPr>
        <w:t xml:space="preserve">Toolkit Development by the Consultant: Completed by Mid-November 2021 </w:t>
      </w:r>
    </w:p>
    <w:p w14:paraId="28E45CD6" w14:textId="77777777" w:rsidR="005A18B9" w:rsidRPr="005A18B9" w:rsidRDefault="005A18B9" w:rsidP="005A18B9">
      <w:pPr>
        <w:pStyle w:val="ListParagraph"/>
        <w:numPr>
          <w:ilvl w:val="0"/>
          <w:numId w:val="20"/>
        </w:numPr>
        <w:spacing w:after="0"/>
        <w:rPr>
          <w:sz w:val="22"/>
          <w:szCs w:val="22"/>
        </w:rPr>
      </w:pPr>
      <w:r w:rsidRPr="005A18B9">
        <w:rPr>
          <w:sz w:val="22"/>
          <w:szCs w:val="22"/>
        </w:rPr>
        <w:t xml:space="preserve">Orientation for participants: 13 December 2021 </w:t>
      </w:r>
    </w:p>
    <w:p w14:paraId="5BCA3749" w14:textId="77777777" w:rsidR="005A18B9" w:rsidRPr="005A18B9" w:rsidRDefault="005A18B9" w:rsidP="005A18B9">
      <w:pPr>
        <w:pStyle w:val="ListParagraph"/>
        <w:numPr>
          <w:ilvl w:val="0"/>
          <w:numId w:val="20"/>
        </w:numPr>
        <w:spacing w:after="0"/>
        <w:rPr>
          <w:sz w:val="22"/>
          <w:szCs w:val="22"/>
        </w:rPr>
      </w:pPr>
      <w:r w:rsidRPr="005A18B9">
        <w:rPr>
          <w:sz w:val="22"/>
          <w:szCs w:val="22"/>
        </w:rPr>
        <w:t>Workshop delivery, Roadmap Finalisation and Dissemination in Thailand: 2 – 17 February 2022 (inclusive of 7-day quarantine period)</w:t>
      </w:r>
    </w:p>
    <w:p w14:paraId="77B7D88A" w14:textId="77777777" w:rsidR="005A18B9" w:rsidRPr="005A18B9" w:rsidRDefault="005A18B9" w:rsidP="005A18B9">
      <w:pPr>
        <w:pStyle w:val="ListParagraph"/>
        <w:numPr>
          <w:ilvl w:val="0"/>
          <w:numId w:val="20"/>
        </w:numPr>
        <w:spacing w:after="0"/>
        <w:rPr>
          <w:sz w:val="22"/>
          <w:szCs w:val="22"/>
        </w:rPr>
      </w:pPr>
      <w:r w:rsidRPr="005A18B9">
        <w:rPr>
          <w:sz w:val="22"/>
          <w:szCs w:val="22"/>
        </w:rPr>
        <w:t xml:space="preserve">Submission of Final Report: 17 March 2022 </w:t>
      </w:r>
    </w:p>
    <w:p w14:paraId="62FB0AFC" w14:textId="77777777" w:rsidR="005A18B9" w:rsidRPr="005A18B9" w:rsidRDefault="005A18B9" w:rsidP="005A18B9">
      <w:pPr>
        <w:pStyle w:val="ListParagraph"/>
        <w:numPr>
          <w:ilvl w:val="0"/>
          <w:numId w:val="20"/>
        </w:numPr>
        <w:spacing w:after="0"/>
        <w:rPr>
          <w:sz w:val="22"/>
          <w:szCs w:val="22"/>
        </w:rPr>
      </w:pPr>
      <w:r w:rsidRPr="005A18B9">
        <w:rPr>
          <w:sz w:val="22"/>
          <w:szCs w:val="22"/>
        </w:rPr>
        <w:t>Further support and guidance on Roadmap: Until 30 June 2022</w:t>
      </w:r>
    </w:p>
    <w:p w14:paraId="73138118" w14:textId="380BEBAE" w:rsidR="00662673" w:rsidRPr="00662673" w:rsidRDefault="00662673" w:rsidP="00662673">
      <w:pPr>
        <w:spacing w:line="276" w:lineRule="auto"/>
        <w:textAlignment w:val="baseline"/>
        <w:rPr>
          <w:szCs w:val="22"/>
        </w:rPr>
      </w:pPr>
      <w:r w:rsidRPr="00662673">
        <w:rPr>
          <w:b/>
          <w:bCs/>
          <w:szCs w:val="22"/>
        </w:rPr>
        <w:t xml:space="preserve">Review of Performance </w:t>
      </w:r>
      <w:r w:rsidRPr="00662673">
        <w:rPr>
          <w:szCs w:val="22"/>
        </w:rPr>
        <w:t>– The Supplier will be required to provide regular updates via call, and email</w:t>
      </w:r>
      <w:r w:rsidR="005B77B3">
        <w:rPr>
          <w:szCs w:val="22"/>
        </w:rPr>
        <w:t xml:space="preserve">. </w:t>
      </w:r>
      <w:r w:rsidR="005B77B3" w:rsidRPr="005B77B3">
        <w:rPr>
          <w:szCs w:val="22"/>
        </w:rPr>
        <w:t>The British Council reserves the right to reject any Services which are not in accordance with the information provided in the Supplier’s response form.</w:t>
      </w:r>
    </w:p>
    <w:p w14:paraId="3A8F31A4" w14:textId="77777777" w:rsidR="00887A6C" w:rsidRPr="008820DC" w:rsidRDefault="00887A6C" w:rsidP="00645583">
      <w:pPr>
        <w:pStyle w:val="MRSchedule1"/>
        <w:numPr>
          <w:ilvl w:val="0"/>
          <w:numId w:val="0"/>
        </w:numPr>
        <w:spacing w:before="60" w:after="160" w:line="276" w:lineRule="auto"/>
        <w:jc w:val="both"/>
        <w:rPr>
          <w:rFonts w:cs="Arial"/>
          <w:szCs w:val="22"/>
        </w:rPr>
      </w:pPr>
      <w:bookmarkStart w:id="9" w:name="_Ref266706327"/>
      <w:r w:rsidRPr="008820DC">
        <w:rPr>
          <w:rFonts w:cs="Arial"/>
          <w:szCs w:val="22"/>
        </w:rPr>
        <w:br w:type="page"/>
      </w:r>
      <w:bookmarkEnd w:id="9"/>
    </w:p>
    <w:p w14:paraId="22703E2A" w14:textId="77777777" w:rsidR="001B3A79" w:rsidRPr="007E3376" w:rsidRDefault="001B3A79" w:rsidP="0049171F">
      <w:pPr>
        <w:pStyle w:val="MRSchedule2"/>
        <w:spacing w:before="60" w:after="160" w:line="276" w:lineRule="auto"/>
        <w:rPr>
          <w:rFonts w:cs="Arial"/>
          <w:b/>
          <w:szCs w:val="22"/>
        </w:rPr>
      </w:pPr>
      <w:r w:rsidRPr="007E3376">
        <w:rPr>
          <w:rFonts w:cs="Arial"/>
          <w:b/>
          <w:szCs w:val="22"/>
        </w:rPr>
        <w:lastRenderedPageBreak/>
        <w:t xml:space="preserve">Schedule 3 </w:t>
      </w:r>
    </w:p>
    <w:p w14:paraId="470DA614" w14:textId="77777777" w:rsidR="00887A6C" w:rsidRPr="008820DC" w:rsidRDefault="00887A6C" w:rsidP="0049171F">
      <w:pPr>
        <w:pStyle w:val="MRSchedule2"/>
        <w:spacing w:before="60" w:after="160" w:line="276" w:lineRule="auto"/>
        <w:rPr>
          <w:rFonts w:cs="Arial"/>
          <w:szCs w:val="22"/>
        </w:rPr>
      </w:pPr>
      <w:r w:rsidRPr="008820DC">
        <w:rPr>
          <w:rFonts w:cs="Arial"/>
          <w:szCs w:val="22"/>
        </w:rPr>
        <w:t>Charges</w:t>
      </w:r>
    </w:p>
    <w:p w14:paraId="71A9186A" w14:textId="0E9966AF" w:rsidR="00887A6C" w:rsidRPr="008820DC" w:rsidRDefault="00887A6C" w:rsidP="0049171F">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00AE5396" w:rsidRPr="00AE5396">
        <w:rPr>
          <w:rFonts w:cs="Arial"/>
          <w:szCs w:val="22"/>
        </w:rPr>
        <w:t xml:space="preserve">not </w:t>
      </w:r>
      <w:proofErr w:type="gramStart"/>
      <w:r w:rsidR="00AE5396" w:rsidRPr="00AE5396">
        <w:rPr>
          <w:rFonts w:cs="Arial"/>
          <w:szCs w:val="22"/>
        </w:rPr>
        <w:t>exceed</w:t>
      </w:r>
      <w:proofErr w:type="gramEnd"/>
      <w:r w:rsidR="00AE5396" w:rsidRPr="00AE5396">
        <w:rPr>
          <w:rFonts w:cs="Arial"/>
          <w:szCs w:val="22"/>
        </w:rPr>
        <w:t xml:space="preserve"> </w:t>
      </w:r>
      <w:r w:rsidR="00AE5396" w:rsidRPr="00AE5396">
        <w:rPr>
          <w:rFonts w:cs="Arial"/>
          <w:b/>
          <w:bCs/>
          <w:szCs w:val="22"/>
        </w:rPr>
        <w:t>£1</w:t>
      </w:r>
      <w:r w:rsidR="0093042E">
        <w:rPr>
          <w:rFonts w:cs="Arial"/>
          <w:b/>
          <w:bCs/>
          <w:szCs w:val="22"/>
        </w:rPr>
        <w:t>8</w:t>
      </w:r>
      <w:r w:rsidR="00AE5396" w:rsidRPr="00AE5396">
        <w:rPr>
          <w:rFonts w:cs="Arial"/>
          <w:b/>
          <w:bCs/>
          <w:szCs w:val="22"/>
        </w:rPr>
        <w:t>,000 (VAT inclusive)</w:t>
      </w:r>
      <w:r w:rsidR="00AE5396">
        <w:rPr>
          <w:rFonts w:cs="Arial"/>
          <w:szCs w:val="22"/>
        </w:rPr>
        <w:t xml:space="preserve">. </w:t>
      </w:r>
      <w:r w:rsidR="000E4AD0">
        <w:rPr>
          <w:rFonts w:cs="Arial"/>
          <w:szCs w:val="22"/>
        </w:rPr>
        <w:t xml:space="preserve">This is equivalent to </w:t>
      </w:r>
      <w:r w:rsidR="000E4AD0" w:rsidRPr="0011291D">
        <w:rPr>
          <w:rFonts w:cs="Arial"/>
          <w:szCs w:val="22"/>
          <w:highlight w:val="yellow"/>
        </w:rPr>
        <w:t>XXX THB, as of September 2021, exchange rate is XX THB per GBP).</w:t>
      </w:r>
      <w:r w:rsidR="000E4AD0">
        <w:rPr>
          <w:rFonts w:cs="Arial"/>
          <w:szCs w:val="22"/>
        </w:rPr>
        <w:t xml:space="preserve"> </w:t>
      </w:r>
    </w:p>
    <w:p w14:paraId="5A56F8F8" w14:textId="377F5EA8" w:rsidR="00645583" w:rsidRDefault="00887A6C" w:rsidP="0049171F">
      <w:pPr>
        <w:spacing w:before="60" w:after="160" w:line="276" w:lineRule="auto"/>
        <w:rPr>
          <w:rFonts w:cs="Arial"/>
          <w:szCs w:val="22"/>
        </w:rPr>
      </w:pPr>
      <w:r w:rsidRPr="008820DC">
        <w:rPr>
          <w:rFonts w:cs="Arial"/>
          <w:szCs w:val="22"/>
        </w:rPr>
        <w:t>The Charges set out above are an all</w:t>
      </w:r>
      <w:r w:rsidR="004F6F76">
        <w:rPr>
          <w:rFonts w:cs="Arial"/>
          <w:szCs w:val="22"/>
        </w:rPr>
        <w:t>-</w:t>
      </w:r>
      <w:r w:rsidRPr="008820DC">
        <w:rPr>
          <w:rFonts w:cs="Arial"/>
          <w:szCs w:val="22"/>
        </w:rPr>
        <w:t xml:space="preserve">inclusive fee except for those additional expenses specifically referred to below, and covers all preparation, report writing and all other work, which is carried out in </w:t>
      </w:r>
      <w:r w:rsidR="00645583">
        <w:rPr>
          <w:rFonts w:cs="Arial"/>
          <w:szCs w:val="22"/>
        </w:rPr>
        <w:t>Thailand and the UK</w:t>
      </w:r>
      <w:r w:rsidRPr="008820DC">
        <w:rPr>
          <w:rFonts w:cs="Arial"/>
          <w:szCs w:val="22"/>
        </w:rPr>
        <w:t xml:space="preserve">.  It is expected that the Supplier will meet all costs and expenses necessary to provide the Services under this Agreement, including, but not restricted </w:t>
      </w:r>
      <w:proofErr w:type="gramStart"/>
      <w:r w:rsidRPr="008820DC">
        <w:rPr>
          <w:rFonts w:cs="Arial"/>
          <w:szCs w:val="22"/>
        </w:rPr>
        <w:t>to:</w:t>
      </w:r>
      <w:proofErr w:type="gramEnd"/>
      <w:r w:rsidRPr="008820DC">
        <w:rPr>
          <w:rFonts w:cs="Arial"/>
          <w:szCs w:val="22"/>
        </w:rPr>
        <w:t xml:space="preserve"> the costs of salaries, bonuses, superannuation medical and travel insurance, insurance for personal possessions or of any fees payable to personnel employed, or engaged by the Supplier. </w:t>
      </w:r>
    </w:p>
    <w:p w14:paraId="2DE16F34" w14:textId="49B9AEA1" w:rsidR="00887A6C" w:rsidRDefault="00887A6C" w:rsidP="0049171F">
      <w:pPr>
        <w:spacing w:before="60" w:after="160" w:line="276" w:lineRule="auto"/>
        <w:rPr>
          <w:rFonts w:cs="Arial"/>
          <w:szCs w:val="22"/>
        </w:rPr>
      </w:pPr>
      <w:r w:rsidRPr="008820DC">
        <w:rPr>
          <w:rFonts w:cs="Arial"/>
          <w:szCs w:val="22"/>
        </w:rPr>
        <w:t>The Charges are also deemed to cover the cost of personal equipment, non-Working Days and all other costs including but not limited to clothing, passports and vaccinations, travel to and from the airport</w:t>
      </w:r>
      <w:r w:rsidR="000E4AD0">
        <w:rPr>
          <w:rFonts w:cstheme="minorBidi" w:hint="cs"/>
          <w:szCs w:val="28"/>
          <w:cs/>
          <w:lang w:bidi="th-TH"/>
        </w:rPr>
        <w:t xml:space="preserve"> </w:t>
      </w:r>
      <w:r w:rsidR="000E4AD0">
        <w:rPr>
          <w:rFonts w:cstheme="minorBidi"/>
          <w:szCs w:val="28"/>
          <w:lang w:bidi="th-TH"/>
        </w:rPr>
        <w:t>in the UK</w:t>
      </w:r>
      <w:r w:rsidRPr="008820DC">
        <w:rPr>
          <w:rFonts w:cs="Arial"/>
          <w:szCs w:val="22"/>
        </w:rPr>
        <w:t>, accommodation costs, overheads and expenses of whatsoever nature that may be incurred except those otherwise specifically provided for in this Agreement.</w:t>
      </w:r>
    </w:p>
    <w:p w14:paraId="736D362B" w14:textId="433EE20F" w:rsidR="000E4AD0" w:rsidRPr="008820DC" w:rsidRDefault="000E4AD0" w:rsidP="000E4AD0">
      <w:pPr>
        <w:spacing w:before="60" w:after="160" w:line="276" w:lineRule="auto"/>
        <w:rPr>
          <w:rFonts w:cs="Arial"/>
          <w:szCs w:val="22"/>
        </w:rPr>
      </w:pPr>
      <w:r>
        <w:rPr>
          <w:rFonts w:cs="Arial"/>
          <w:szCs w:val="22"/>
        </w:rPr>
        <w:t>Additionally,</w:t>
      </w:r>
      <w:r w:rsidRPr="000E4AD0">
        <w:rPr>
          <w:rFonts w:cs="Arial"/>
          <w:szCs w:val="22"/>
        </w:rPr>
        <w:t xml:space="preserve"> </w:t>
      </w:r>
      <w:r>
        <w:rPr>
          <w:rFonts w:cs="Arial"/>
          <w:szCs w:val="22"/>
        </w:rPr>
        <w:t>the</w:t>
      </w:r>
      <w:r w:rsidRPr="000E4AD0">
        <w:rPr>
          <w:rFonts w:cs="Arial"/>
          <w:szCs w:val="22"/>
        </w:rPr>
        <w:t xml:space="preserve"> NSTDA </w:t>
      </w:r>
      <w:r>
        <w:rPr>
          <w:rFonts w:cs="Arial"/>
          <w:szCs w:val="22"/>
        </w:rPr>
        <w:t>will separate manage and cover</w:t>
      </w:r>
      <w:r w:rsidR="0093042E">
        <w:rPr>
          <w:rFonts w:cs="Arial"/>
          <w:szCs w:val="22"/>
        </w:rPr>
        <w:t xml:space="preserve"> </w:t>
      </w:r>
      <w:r>
        <w:rPr>
          <w:rFonts w:cs="Arial"/>
          <w:szCs w:val="22"/>
        </w:rPr>
        <w:t xml:space="preserve">the logistical arrangement costs </w:t>
      </w:r>
      <w:r w:rsidRPr="000E4AD0">
        <w:rPr>
          <w:rFonts w:cs="Arial"/>
          <w:szCs w:val="22"/>
        </w:rPr>
        <w:t xml:space="preserve">for maximum three consultants in Thailand </w:t>
      </w:r>
      <w:r w:rsidR="004F6F76" w:rsidRPr="004F6F76">
        <w:rPr>
          <w:rFonts w:cs="Arial"/>
          <w:szCs w:val="22"/>
        </w:rPr>
        <w:t>wherein NSTDA will make all necessary bookings using NSTDA travel policy</w:t>
      </w:r>
      <w:r w:rsidRPr="000E4AD0">
        <w:rPr>
          <w:rFonts w:cs="Arial"/>
          <w:szCs w:val="22"/>
        </w:rPr>
        <w:t xml:space="preserve">. </w:t>
      </w:r>
      <w:r w:rsidR="00960FB4" w:rsidRPr="00960FB4">
        <w:rPr>
          <w:rFonts w:cs="Arial"/>
          <w:szCs w:val="22"/>
        </w:rPr>
        <w:t xml:space="preserve">This includes international and local flight expenses (economy class), accommodation and subsistence, local transportation, and workshop material production. Quarantine, </w:t>
      </w:r>
      <w:proofErr w:type="gramStart"/>
      <w:r w:rsidR="00960FB4" w:rsidRPr="00960FB4">
        <w:rPr>
          <w:rFonts w:cs="Arial"/>
          <w:szCs w:val="22"/>
        </w:rPr>
        <w:t>vaccination</w:t>
      </w:r>
      <w:proofErr w:type="gramEnd"/>
      <w:r w:rsidR="00960FB4" w:rsidRPr="00960FB4">
        <w:rPr>
          <w:rFonts w:cs="Arial"/>
          <w:szCs w:val="22"/>
        </w:rPr>
        <w:t xml:space="preserve"> and documents fees are inclusive of the arrangements.</w:t>
      </w:r>
    </w:p>
    <w:p w14:paraId="7EF5E501" w14:textId="77777777" w:rsidR="0011291D" w:rsidRDefault="0011291D" w:rsidP="000E4AD0">
      <w:pPr>
        <w:spacing w:before="60" w:after="160" w:line="276" w:lineRule="auto"/>
        <w:rPr>
          <w:rFonts w:cs="Arial"/>
          <w:szCs w:val="22"/>
        </w:rPr>
      </w:pPr>
      <w:r w:rsidRPr="0011291D">
        <w:rPr>
          <w:rFonts w:cs="Arial"/>
          <w:szCs w:val="22"/>
        </w:rPr>
        <w:t xml:space="preserve">If there is any additional work which is not mentioned in this agreement, the Supplier shall submit the proposal separately to BCF for consideration and BCF has the right to bid without advance notice. </w:t>
      </w:r>
    </w:p>
    <w:p w14:paraId="04A3184A" w14:textId="44294982" w:rsidR="000E4AD0" w:rsidRPr="000536D8" w:rsidRDefault="000E4AD0" w:rsidP="000E4AD0">
      <w:pPr>
        <w:spacing w:before="60" w:after="160" w:line="276" w:lineRule="auto"/>
        <w:rPr>
          <w:rFonts w:cs="Arial"/>
          <w:b/>
          <w:bCs/>
          <w:szCs w:val="22"/>
        </w:rPr>
      </w:pPr>
      <w:r w:rsidRPr="000536D8">
        <w:rPr>
          <w:rFonts w:cs="Arial"/>
          <w:b/>
          <w:bCs/>
          <w:szCs w:val="22"/>
        </w:rPr>
        <w:t>Payment Terms</w:t>
      </w:r>
    </w:p>
    <w:p w14:paraId="150F7517" w14:textId="77777777" w:rsidR="0011291D" w:rsidRDefault="0011291D" w:rsidP="000E4AD0">
      <w:pPr>
        <w:spacing w:before="0" w:after="240" w:line="276" w:lineRule="auto"/>
        <w:rPr>
          <w:rFonts w:cs="Arial"/>
          <w:szCs w:val="22"/>
        </w:rPr>
      </w:pPr>
      <w:r w:rsidRPr="0011291D">
        <w:rPr>
          <w:rFonts w:cs="Arial"/>
          <w:szCs w:val="22"/>
        </w:rPr>
        <w:t xml:space="preserve">The Supplier agrees that Purchase Order (PO) need to be issued before start work/service or deliver the goods. BCF will not be responsible for payment that without Purchase Order (PO). </w:t>
      </w:r>
    </w:p>
    <w:p w14:paraId="06745C54" w14:textId="76256E90" w:rsidR="000E4AD0" w:rsidRPr="00662673" w:rsidRDefault="000E4AD0" w:rsidP="000E4AD0">
      <w:pPr>
        <w:spacing w:before="0" w:after="240" w:line="276" w:lineRule="auto"/>
        <w:rPr>
          <w:rFonts w:cs="Arial"/>
          <w:szCs w:val="22"/>
        </w:rPr>
      </w:pPr>
      <w:r>
        <w:rPr>
          <w:rFonts w:cs="Arial"/>
          <w:szCs w:val="22"/>
        </w:rPr>
        <w:t xml:space="preserve">The transaction will follow the British Council’s payment policy whereby payments will be made within </w:t>
      </w:r>
      <w:r w:rsidRPr="00662673">
        <w:rPr>
          <w:rFonts w:cs="Arial"/>
          <w:szCs w:val="22"/>
        </w:rPr>
        <w:t>30 days after invoice submission. requirements for an invoice for the British Council include:</w:t>
      </w:r>
    </w:p>
    <w:p w14:paraId="3906C1FB" w14:textId="77777777" w:rsidR="000E4AD0" w:rsidRPr="00662673" w:rsidRDefault="000E4AD0" w:rsidP="000E4AD0">
      <w:pPr>
        <w:numPr>
          <w:ilvl w:val="0"/>
          <w:numId w:val="19"/>
        </w:numPr>
        <w:spacing w:before="0" w:line="276" w:lineRule="auto"/>
        <w:rPr>
          <w:rFonts w:cs="Arial"/>
          <w:szCs w:val="22"/>
        </w:rPr>
      </w:pPr>
      <w:r w:rsidRPr="00662673">
        <w:rPr>
          <w:rFonts w:cs="Arial"/>
          <w:szCs w:val="22"/>
        </w:rPr>
        <w:t>A description of the good/services supplied is included.</w:t>
      </w:r>
    </w:p>
    <w:p w14:paraId="534C8E41" w14:textId="77777777" w:rsidR="000E4AD0" w:rsidRPr="00662673" w:rsidRDefault="000E4AD0" w:rsidP="000E4AD0">
      <w:pPr>
        <w:numPr>
          <w:ilvl w:val="0"/>
          <w:numId w:val="19"/>
        </w:numPr>
        <w:spacing w:before="0" w:line="276" w:lineRule="auto"/>
        <w:rPr>
          <w:rFonts w:cs="Arial"/>
          <w:szCs w:val="22"/>
        </w:rPr>
      </w:pPr>
      <w:r w:rsidRPr="00662673">
        <w:rPr>
          <w:rFonts w:cs="Arial"/>
          <w:szCs w:val="22"/>
        </w:rPr>
        <w:t xml:space="preserve">The British Council Purchase Order number is included. The PO number will be provided within 1 month after the Agreement has been signed between the British Council and the Supplier.  </w:t>
      </w:r>
    </w:p>
    <w:p w14:paraId="3AFA25CF" w14:textId="77777777" w:rsidR="000E4AD0" w:rsidRPr="00662673" w:rsidRDefault="000E4AD0" w:rsidP="000E4AD0">
      <w:pPr>
        <w:numPr>
          <w:ilvl w:val="0"/>
          <w:numId w:val="19"/>
        </w:numPr>
        <w:spacing w:before="0" w:line="276" w:lineRule="auto"/>
        <w:jc w:val="left"/>
        <w:rPr>
          <w:rFonts w:cs="Arial"/>
          <w:szCs w:val="22"/>
        </w:rPr>
      </w:pPr>
      <w:r w:rsidRPr="00662673">
        <w:rPr>
          <w:rFonts w:cs="Arial"/>
          <w:szCs w:val="22"/>
        </w:rPr>
        <w:t xml:space="preserve">The invoice is sent electronically via email in PDF format to </w:t>
      </w:r>
      <w:hyperlink r:id="rId11" w:history="1">
        <w:r w:rsidRPr="00662673">
          <w:rPr>
            <w:rStyle w:val="Hyperlink"/>
            <w:szCs w:val="22"/>
          </w:rPr>
          <w:t>ekkarat.subannarat@britishcouncil.or.th</w:t>
        </w:r>
      </w:hyperlink>
      <w:r w:rsidRPr="00662673">
        <w:rPr>
          <w:szCs w:val="22"/>
        </w:rPr>
        <w:t xml:space="preserve"> </w:t>
      </w:r>
      <w:r w:rsidRPr="00662673">
        <w:rPr>
          <w:rFonts w:cs="Arial"/>
          <w:szCs w:val="22"/>
        </w:rPr>
        <w:t xml:space="preserve">and by post to: </w:t>
      </w:r>
    </w:p>
    <w:p w14:paraId="29895A01" w14:textId="77777777" w:rsidR="000E4AD0" w:rsidRPr="00662673" w:rsidRDefault="000E4AD0" w:rsidP="000E4AD0">
      <w:pPr>
        <w:spacing w:before="0" w:line="276" w:lineRule="auto"/>
        <w:ind w:left="720"/>
        <w:rPr>
          <w:rFonts w:cstheme="minorBidi"/>
          <w:b/>
          <w:bCs/>
          <w:szCs w:val="22"/>
          <w:cs/>
          <w:lang w:bidi="th-TH"/>
        </w:rPr>
      </w:pPr>
      <w:r w:rsidRPr="00662673">
        <w:rPr>
          <w:rFonts w:cs="Arial"/>
          <w:b/>
          <w:bCs/>
          <w:szCs w:val="22"/>
        </w:rPr>
        <w:t>BC Foundation</w:t>
      </w:r>
    </w:p>
    <w:p w14:paraId="154EB01B" w14:textId="77777777" w:rsidR="000E4AD0" w:rsidRPr="00662673" w:rsidRDefault="000E4AD0" w:rsidP="000E4AD0">
      <w:pPr>
        <w:spacing w:before="0" w:line="276" w:lineRule="auto"/>
        <w:ind w:left="720"/>
        <w:rPr>
          <w:rFonts w:cs="Arial"/>
          <w:szCs w:val="22"/>
        </w:rPr>
      </w:pPr>
      <w:r w:rsidRPr="00662673">
        <w:rPr>
          <w:rFonts w:cs="Arial"/>
          <w:szCs w:val="22"/>
        </w:rPr>
        <w:t xml:space="preserve">No. 254 </w:t>
      </w:r>
      <w:proofErr w:type="spellStart"/>
      <w:r w:rsidRPr="00662673">
        <w:rPr>
          <w:rFonts w:cs="Arial"/>
          <w:szCs w:val="22"/>
        </w:rPr>
        <w:t>Wittayakit</w:t>
      </w:r>
      <w:proofErr w:type="spellEnd"/>
      <w:r w:rsidRPr="00662673">
        <w:rPr>
          <w:rFonts w:cs="Arial"/>
          <w:szCs w:val="22"/>
        </w:rPr>
        <w:t xml:space="preserve"> Building, Chulalongkorn </w:t>
      </w:r>
      <w:proofErr w:type="spellStart"/>
      <w:r w:rsidRPr="00662673">
        <w:rPr>
          <w:rFonts w:cs="Arial"/>
          <w:szCs w:val="22"/>
        </w:rPr>
        <w:t>Soi</w:t>
      </w:r>
      <w:proofErr w:type="spellEnd"/>
      <w:r w:rsidRPr="00662673">
        <w:rPr>
          <w:rFonts w:cs="Arial"/>
          <w:szCs w:val="22"/>
        </w:rPr>
        <w:t xml:space="preserve"> 64, Siam Square, </w:t>
      </w:r>
      <w:proofErr w:type="spellStart"/>
      <w:r w:rsidRPr="00662673">
        <w:rPr>
          <w:rFonts w:cs="Arial"/>
          <w:szCs w:val="22"/>
        </w:rPr>
        <w:t>Phyathai</w:t>
      </w:r>
      <w:proofErr w:type="spellEnd"/>
      <w:r w:rsidRPr="00662673">
        <w:rPr>
          <w:rFonts w:cs="Arial"/>
          <w:szCs w:val="22"/>
        </w:rPr>
        <w:t xml:space="preserve"> Road, </w:t>
      </w:r>
      <w:proofErr w:type="spellStart"/>
      <w:r w:rsidRPr="00662673">
        <w:rPr>
          <w:rFonts w:cs="Arial"/>
          <w:szCs w:val="22"/>
        </w:rPr>
        <w:t>Kwaeng</w:t>
      </w:r>
      <w:proofErr w:type="spellEnd"/>
      <w:r w:rsidRPr="00662673">
        <w:rPr>
          <w:rFonts w:cs="Arial"/>
          <w:szCs w:val="22"/>
        </w:rPr>
        <w:t xml:space="preserve"> </w:t>
      </w:r>
      <w:proofErr w:type="spellStart"/>
      <w:r w:rsidRPr="00662673">
        <w:rPr>
          <w:rFonts w:cs="Arial"/>
          <w:szCs w:val="22"/>
        </w:rPr>
        <w:t>Wangmai</w:t>
      </w:r>
      <w:proofErr w:type="spellEnd"/>
      <w:r w:rsidRPr="00662673">
        <w:rPr>
          <w:rFonts w:cs="Arial"/>
          <w:szCs w:val="22"/>
        </w:rPr>
        <w:t xml:space="preserve">, Khet </w:t>
      </w:r>
      <w:proofErr w:type="spellStart"/>
      <w:r w:rsidRPr="00662673">
        <w:rPr>
          <w:rFonts w:cs="Arial"/>
          <w:szCs w:val="22"/>
        </w:rPr>
        <w:t>Pathumwan</w:t>
      </w:r>
      <w:proofErr w:type="spellEnd"/>
      <w:r w:rsidRPr="00662673">
        <w:rPr>
          <w:rFonts w:cs="Arial"/>
          <w:szCs w:val="22"/>
        </w:rPr>
        <w:t>, Bangkok, Thailand 10330</w:t>
      </w:r>
    </w:p>
    <w:p w14:paraId="7FE7765E" w14:textId="06C6CA30" w:rsidR="000E4AD0" w:rsidRPr="008820DC" w:rsidRDefault="000E4AD0" w:rsidP="000E4AD0">
      <w:pPr>
        <w:spacing w:before="60" w:after="160" w:line="276" w:lineRule="auto"/>
        <w:rPr>
          <w:rFonts w:cs="Arial"/>
          <w:szCs w:val="22"/>
        </w:rPr>
      </w:pPr>
    </w:p>
    <w:p w14:paraId="17892D7F" w14:textId="77777777" w:rsidR="000E4AD0" w:rsidRDefault="000E4AD0" w:rsidP="0049171F">
      <w:pPr>
        <w:spacing w:before="60" w:after="160" w:line="276" w:lineRule="auto"/>
        <w:rPr>
          <w:rFonts w:cs="Arial"/>
          <w:szCs w:val="22"/>
        </w:rPr>
      </w:pPr>
    </w:p>
    <w:p w14:paraId="20C4444C" w14:textId="77777777" w:rsidR="000E4AD0" w:rsidRPr="008820DC" w:rsidRDefault="000E4AD0" w:rsidP="0049171F">
      <w:pPr>
        <w:spacing w:before="60" w:after="160" w:line="276" w:lineRule="auto"/>
        <w:rPr>
          <w:rFonts w:cs="Arial"/>
          <w:szCs w:val="22"/>
        </w:rPr>
      </w:pPr>
    </w:p>
    <w:p w14:paraId="3F4301AE" w14:textId="77777777" w:rsidR="00887A6C" w:rsidRPr="008820DC" w:rsidRDefault="00887A6C" w:rsidP="0049171F">
      <w:pPr>
        <w:pStyle w:val="MRSchedule1"/>
        <w:spacing w:before="60" w:after="160" w:line="276" w:lineRule="auto"/>
        <w:ind w:left="0"/>
        <w:rPr>
          <w:rFonts w:cs="Arial"/>
          <w:szCs w:val="22"/>
        </w:rPr>
      </w:pPr>
      <w:bookmarkStart w:id="10" w:name="_Ref266464072"/>
      <w:r w:rsidRPr="008820DC">
        <w:rPr>
          <w:rFonts w:cs="Arial"/>
          <w:szCs w:val="22"/>
        </w:rPr>
        <w:br w:type="page"/>
      </w:r>
      <w:bookmarkEnd w:id="10"/>
    </w:p>
    <w:p w14:paraId="08A4493B" w14:textId="77777777" w:rsidR="001B3A79" w:rsidRPr="007E3376" w:rsidRDefault="001B3A79" w:rsidP="0049171F">
      <w:pPr>
        <w:pStyle w:val="MRSchedule2"/>
        <w:spacing w:before="60" w:after="160" w:line="276" w:lineRule="auto"/>
        <w:rPr>
          <w:rFonts w:cs="Arial"/>
          <w:b/>
          <w:szCs w:val="22"/>
        </w:rPr>
      </w:pPr>
      <w:r w:rsidRPr="007E3376">
        <w:rPr>
          <w:rFonts w:cs="Arial"/>
          <w:b/>
          <w:szCs w:val="22"/>
        </w:rPr>
        <w:lastRenderedPageBreak/>
        <w:t>Schedule 4</w:t>
      </w:r>
    </w:p>
    <w:p w14:paraId="219A07D2" w14:textId="77777777" w:rsidR="00887A6C" w:rsidRPr="008820DC" w:rsidRDefault="00887A6C" w:rsidP="0049171F">
      <w:pPr>
        <w:pStyle w:val="MRSchedule2"/>
        <w:spacing w:before="60" w:after="160" w:line="276" w:lineRule="auto"/>
        <w:rPr>
          <w:rFonts w:cs="Arial"/>
          <w:szCs w:val="22"/>
        </w:rPr>
      </w:pPr>
      <w:r w:rsidRPr="008820DC">
        <w:rPr>
          <w:rFonts w:cs="Arial"/>
          <w:szCs w:val="22"/>
        </w:rPr>
        <w:t>Standard Terms</w:t>
      </w:r>
    </w:p>
    <w:p w14:paraId="2D2ABD49" w14:textId="77777777" w:rsidR="00887A6C" w:rsidRPr="008820DC" w:rsidRDefault="00887A6C" w:rsidP="0049171F">
      <w:pPr>
        <w:pStyle w:val="MRheading1"/>
        <w:numPr>
          <w:ilvl w:val="0"/>
          <w:numId w:val="9"/>
        </w:numPr>
        <w:spacing w:before="60" w:after="160" w:line="276" w:lineRule="auto"/>
        <w:rPr>
          <w:rFonts w:cs="Arial"/>
          <w:szCs w:val="22"/>
        </w:rPr>
      </w:pPr>
      <w:bookmarkStart w:id="11" w:name="_Toc207776101"/>
      <w:bookmarkStart w:id="12" w:name="_Toc207776249"/>
      <w:r w:rsidRPr="008820DC">
        <w:rPr>
          <w:rFonts w:cs="Arial"/>
          <w:szCs w:val="22"/>
        </w:rPr>
        <w:t>Interpretation</w:t>
      </w:r>
      <w:bookmarkEnd w:id="11"/>
      <w:bookmarkEnd w:id="12"/>
    </w:p>
    <w:p w14:paraId="5BAC639F" w14:textId="77777777" w:rsidR="00887A6C" w:rsidRPr="008820DC" w:rsidRDefault="00887A6C" w:rsidP="0049171F">
      <w:pPr>
        <w:pStyle w:val="MRheading2"/>
        <w:spacing w:before="60" w:after="160" w:line="276" w:lineRule="auto"/>
        <w:rPr>
          <w:rFonts w:cs="Arial"/>
          <w:szCs w:val="22"/>
        </w:rPr>
      </w:pPr>
      <w:r w:rsidRPr="008820DC">
        <w:rPr>
          <w:rFonts w:cs="Arial"/>
          <w:szCs w:val="22"/>
        </w:rPr>
        <w:t>In this Agreement:</w:t>
      </w:r>
    </w:p>
    <w:p w14:paraId="7F76BD4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09472F13"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0AE591E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12"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241AB53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3</w:t>
      </w:r>
      <w:r w:rsidRPr="008820DC">
        <w:rPr>
          <w:rFonts w:cs="Arial"/>
          <w:szCs w:val="22"/>
        </w:rPr>
        <w:t>;</w:t>
      </w:r>
    </w:p>
    <w:p w14:paraId="2FA5D8B7"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0877BC0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74740578"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2202B2A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5C8C4D1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0D7558F3" w14:textId="77777777" w:rsidR="00AA62F4" w:rsidRDefault="00AA62F4" w:rsidP="0049171F">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69E2189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14:paraId="21D699DF"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means the Environmental Information Regulations 2004;</w:t>
      </w:r>
    </w:p>
    <w:p w14:paraId="40D9D64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7FFD5812"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3528B049" w14:textId="77777777" w:rsidR="004331EB" w:rsidRPr="004331EB" w:rsidRDefault="004331EB" w:rsidP="0049171F">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74FFC332"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12F05DD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2A4C9A35" w14:textId="77777777" w:rsidR="00887A6C" w:rsidRPr="008820DC" w:rsidRDefault="00887A6C" w:rsidP="0049171F">
      <w:pPr>
        <w:spacing w:before="60" w:after="160" w:line="276" w:lineRule="auto"/>
        <w:ind w:left="720"/>
        <w:rPr>
          <w:rFonts w:cs="Arial"/>
          <w:szCs w:val="22"/>
        </w:rPr>
      </w:pPr>
      <w:r w:rsidRPr="008820DC">
        <w:rPr>
          <w:rFonts w:cs="Arial"/>
          <w:szCs w:val="22"/>
        </w:rPr>
        <w:t>(a)</w:t>
      </w:r>
      <w:r w:rsidRPr="008820DC">
        <w:rPr>
          <w:rFonts w:cs="Arial"/>
          <w:szCs w:val="22"/>
        </w:rPr>
        <w:tab/>
        <w:t>the Code;</w:t>
      </w:r>
    </w:p>
    <w:p w14:paraId="57C4B753" w14:textId="77777777" w:rsidR="00887A6C" w:rsidRPr="008820DC" w:rsidRDefault="00887A6C" w:rsidP="0049171F">
      <w:pPr>
        <w:spacing w:before="60" w:after="160" w:line="276" w:lineRule="auto"/>
        <w:ind w:left="720"/>
        <w:rPr>
          <w:rFonts w:cs="Arial"/>
          <w:szCs w:val="22"/>
        </w:rPr>
      </w:pPr>
      <w:r w:rsidRPr="008820DC">
        <w:rPr>
          <w:rFonts w:cs="Arial"/>
          <w:szCs w:val="22"/>
        </w:rPr>
        <w:t>(b)</w:t>
      </w:r>
      <w:r w:rsidRPr="008820DC">
        <w:rPr>
          <w:rFonts w:cs="Arial"/>
          <w:szCs w:val="22"/>
        </w:rPr>
        <w:tab/>
        <w:t>the FOIA;  and</w:t>
      </w:r>
    </w:p>
    <w:p w14:paraId="30B9BD5A" w14:textId="77777777" w:rsidR="00887A6C" w:rsidRPr="008820DC" w:rsidRDefault="00887A6C" w:rsidP="0049171F">
      <w:pPr>
        <w:spacing w:before="60" w:after="160" w:line="276" w:lineRule="auto"/>
        <w:ind w:left="720"/>
        <w:rPr>
          <w:rFonts w:cs="Arial"/>
          <w:szCs w:val="22"/>
        </w:rPr>
      </w:pPr>
      <w:r w:rsidRPr="008820DC">
        <w:rPr>
          <w:rFonts w:cs="Arial"/>
          <w:szCs w:val="22"/>
        </w:rPr>
        <w:t>(c)</w:t>
      </w:r>
      <w:r w:rsidRPr="008820DC">
        <w:rPr>
          <w:rFonts w:cs="Arial"/>
          <w:szCs w:val="22"/>
        </w:rPr>
        <w:tab/>
        <w:t>the Environmental Information Regulations;</w:t>
      </w:r>
    </w:p>
    <w:p w14:paraId="60A1E323"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xml:space="preserve">” means any copyright and related rights, patents, rights to inventions, registered designs, database rights, design rights, topography rights, </w:t>
      </w:r>
      <w:proofErr w:type="spellStart"/>
      <w:r w:rsidRPr="008820DC">
        <w:rPr>
          <w:rFonts w:cs="Arial"/>
          <w:szCs w:val="22"/>
        </w:rPr>
        <w:t>trade marks</w:t>
      </w:r>
      <w:proofErr w:type="spellEnd"/>
      <w:r w:rsidRPr="008820D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3D938D7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60A68FE1" w14:textId="77777777" w:rsidR="00887A6C" w:rsidRPr="008820DC" w:rsidRDefault="00887A6C" w:rsidP="0049171F">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70EA846D"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6FE733B2"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13B7154C"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71B8D228"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14:paraId="5A6348A8"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2DE7464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1C7ECA56" w14:textId="77777777" w:rsidR="00887A6C" w:rsidRPr="008820DC" w:rsidRDefault="00887A6C" w:rsidP="0049171F">
      <w:pPr>
        <w:pStyle w:val="MRheading2"/>
        <w:spacing w:before="60" w:after="160" w:line="276" w:lineRule="auto"/>
        <w:rPr>
          <w:rFonts w:cs="Arial"/>
          <w:szCs w:val="22"/>
        </w:rPr>
      </w:pPr>
      <w:bookmarkStart w:id="13" w:name="_Toc207776102"/>
      <w:bookmarkStart w:id="14" w:name="_Toc207776250"/>
      <w:r w:rsidRPr="008820DC">
        <w:rPr>
          <w:rFonts w:cs="Arial"/>
          <w:szCs w:val="22"/>
        </w:rPr>
        <w:t>In this Agreement:</w:t>
      </w:r>
    </w:p>
    <w:p w14:paraId="47250ADA" w14:textId="77777777" w:rsidR="00887A6C" w:rsidRPr="008820DC" w:rsidRDefault="00887A6C" w:rsidP="0049171F">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14:paraId="731E1D37" w14:textId="77777777" w:rsidR="00887A6C" w:rsidRPr="008820DC" w:rsidRDefault="00887A6C" w:rsidP="0049171F">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6553C6E2" w14:textId="77777777" w:rsidR="00887A6C" w:rsidRPr="008820DC" w:rsidRDefault="00887A6C" w:rsidP="0049171F">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5A01A856" w14:textId="77777777" w:rsidR="00887A6C" w:rsidRPr="008820DC" w:rsidRDefault="00887A6C" w:rsidP="0049171F">
      <w:pPr>
        <w:pStyle w:val="MRheading3"/>
        <w:spacing w:before="60" w:after="160" w:line="276" w:lineRule="auto"/>
        <w:rPr>
          <w:rFonts w:cs="Arial"/>
          <w:szCs w:val="22"/>
        </w:rPr>
      </w:pPr>
      <w:bookmarkStart w:id="15"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2C33C4">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5"/>
    </w:p>
    <w:p w14:paraId="0CA3DC16" w14:textId="77777777" w:rsidR="00887A6C" w:rsidRPr="008820DC" w:rsidRDefault="00887A6C" w:rsidP="0049171F">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14:paraId="053F009A" w14:textId="77777777" w:rsidR="00887A6C" w:rsidRPr="008820DC" w:rsidRDefault="00887A6C" w:rsidP="0049171F">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5D06C7CB" w14:textId="77777777" w:rsidR="00887A6C" w:rsidRPr="008820DC" w:rsidRDefault="00887A6C" w:rsidP="0049171F">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14:paraId="682BAB42" w14:textId="77777777" w:rsidR="00887A6C" w:rsidRPr="008820DC" w:rsidRDefault="00887A6C" w:rsidP="0049171F">
      <w:pPr>
        <w:pStyle w:val="MRheading4"/>
        <w:numPr>
          <w:ilvl w:val="0"/>
          <w:numId w:val="0"/>
        </w:numPr>
        <w:spacing w:before="60" w:after="160" w:line="276" w:lineRule="auto"/>
        <w:ind w:left="1800"/>
        <w:rPr>
          <w:rFonts w:cs="Arial"/>
          <w:szCs w:val="22"/>
        </w:rPr>
      </w:pPr>
      <w:r w:rsidRPr="008820DC">
        <w:rPr>
          <w:rFonts w:cs="Arial"/>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6E55EE1F" w14:textId="1BB8414E" w:rsidR="00887A6C" w:rsidRDefault="00887A6C" w:rsidP="0049171F">
      <w:pPr>
        <w:pStyle w:val="MRheading3"/>
        <w:spacing w:before="60" w:after="160" w:line="276" w:lineRule="auto"/>
        <w:rPr>
          <w:rFonts w:cs="Arial"/>
          <w:szCs w:val="22"/>
        </w:rPr>
      </w:pPr>
      <w:bookmarkStart w:id="16" w:name="_Ref389378533"/>
      <w:r w:rsidRPr="008820DC">
        <w:rPr>
          <w:rFonts w:cs="Arial"/>
          <w:szCs w:val="22"/>
        </w:rPr>
        <w:t>obligations of the British Council shall not be interpreted as obligations of any of the British Council Entities.</w:t>
      </w:r>
      <w:bookmarkEnd w:id="16"/>
    </w:p>
    <w:p w14:paraId="06AE1DE3" w14:textId="0D0FAF72" w:rsidR="0011291D" w:rsidRPr="0011291D" w:rsidRDefault="0011291D" w:rsidP="0011291D">
      <w:pPr>
        <w:pStyle w:val="MRheading3"/>
        <w:spacing w:before="60" w:after="160" w:line="276" w:lineRule="auto"/>
        <w:rPr>
          <w:rFonts w:cs="Arial"/>
          <w:szCs w:val="22"/>
        </w:rPr>
      </w:pPr>
      <w:r w:rsidRPr="001F3DA6">
        <w:rPr>
          <w:lang w:eastAsia="en-US"/>
        </w:rPr>
        <w:t>each reference in this Agreement to “British Council” shall be deemed to mean a reference “BC Foundation” unless stated otherwise.</w:t>
      </w:r>
    </w:p>
    <w:p w14:paraId="719D11B8" w14:textId="77777777" w:rsidR="00887A6C" w:rsidRPr="008820DC" w:rsidRDefault="00887A6C" w:rsidP="0049171F">
      <w:pPr>
        <w:pStyle w:val="MRheading1"/>
        <w:spacing w:before="60" w:after="160" w:line="276" w:lineRule="auto"/>
        <w:rPr>
          <w:rFonts w:cs="Arial"/>
          <w:szCs w:val="22"/>
        </w:rPr>
      </w:pPr>
      <w:r w:rsidRPr="008820DC">
        <w:rPr>
          <w:rFonts w:cs="Arial"/>
          <w:szCs w:val="22"/>
        </w:rPr>
        <w:t>Supplier’s Responsibilities</w:t>
      </w:r>
      <w:bookmarkEnd w:id="13"/>
      <w:bookmarkEnd w:id="14"/>
    </w:p>
    <w:p w14:paraId="31BDC6CA"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w:t>
      </w:r>
    </w:p>
    <w:p w14:paraId="58801277" w14:textId="77777777" w:rsidR="00887A6C" w:rsidRPr="008820DC" w:rsidRDefault="00370D8E" w:rsidP="0049171F">
      <w:pPr>
        <w:pStyle w:val="MRheading3"/>
        <w:spacing w:before="60" w:after="160" w:line="276" w:lineRule="auto"/>
        <w:rPr>
          <w:rFonts w:cs="Arial"/>
          <w:szCs w:val="22"/>
        </w:rPr>
      </w:pPr>
      <w:r>
        <w:rPr>
          <w:rFonts w:cs="Arial"/>
          <w:szCs w:val="22"/>
        </w:rPr>
        <w:t>p</w:t>
      </w:r>
      <w:r w:rsidRPr="00370D8E">
        <w:rPr>
          <w:rFonts w:cs="Arial"/>
          <w:szCs w:val="22"/>
        </w:rPr>
        <w:t xml:space="preserve">rovide the Services and the Goods and </w:t>
      </w:r>
      <w:proofErr w:type="gramStart"/>
      <w:r w:rsidRPr="00370D8E">
        <w:rPr>
          <w:rFonts w:cs="Arial"/>
          <w:szCs w:val="22"/>
        </w:rPr>
        <w:t>deliver the Deliverables with (</w:t>
      </w:r>
      <w:proofErr w:type="spellStart"/>
      <w:r w:rsidRPr="00370D8E">
        <w:rPr>
          <w:rFonts w:cs="Arial"/>
          <w:szCs w:val="22"/>
        </w:rPr>
        <w:t>i</w:t>
      </w:r>
      <w:proofErr w:type="spellEnd"/>
      <w:r w:rsidRPr="00370D8E">
        <w:rPr>
          <w:rFonts w:cs="Arial"/>
          <w:szCs w:val="22"/>
        </w:rPr>
        <w:t>) reasonable skill and care and to the highest professional standards (ii) in compliance at all times</w:t>
      </w:r>
      <w:proofErr w:type="gramEnd"/>
      <w:r w:rsidRPr="00370D8E">
        <w:rPr>
          <w:rFonts w:cs="Arial"/>
          <w:szCs w:val="22"/>
        </w:rPr>
        <w:t xml:space="preserve">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sidR="002C33C4">
        <w:rPr>
          <w:rFonts w:cs="Arial"/>
          <w:szCs w:val="22"/>
        </w:rPr>
        <w:t>Schedule 1</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bligations under this Agreement</w:t>
      </w:r>
      <w:r w:rsidR="00887A6C" w:rsidRPr="008820DC">
        <w:rPr>
          <w:rFonts w:cs="Arial"/>
          <w:szCs w:val="22"/>
        </w:rPr>
        <w:t>;</w:t>
      </w:r>
    </w:p>
    <w:p w14:paraId="44514C53" w14:textId="77777777" w:rsidR="00887A6C" w:rsidRPr="008820DC" w:rsidRDefault="00887A6C" w:rsidP="0049171F">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7DE9F7F8"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13DAF3E9"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14:paraId="51CBED36" w14:textId="77777777" w:rsidR="00887A6C" w:rsidRPr="008820DC" w:rsidRDefault="00D722F3" w:rsidP="0049171F">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sidR="002C33C4">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 xml:space="preserve">gislation in force at that </w:t>
      </w:r>
      <w:proofErr w:type="gramStart"/>
      <w:r>
        <w:rPr>
          <w:rFonts w:cs="Arial"/>
          <w:szCs w:val="22"/>
        </w:rPr>
        <w:t>time</w:t>
      </w:r>
      <w:r w:rsidR="00887A6C" w:rsidRPr="008820DC">
        <w:rPr>
          <w:rFonts w:cs="Arial"/>
          <w:szCs w:val="22"/>
        </w:rPr>
        <w:t>;</w:t>
      </w:r>
      <w:proofErr w:type="gramEnd"/>
    </w:p>
    <w:p w14:paraId="175819F8" w14:textId="77777777" w:rsidR="00887A6C" w:rsidRPr="008820DC" w:rsidRDefault="00887A6C" w:rsidP="0049171F">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29E90168" w14:textId="77777777" w:rsidR="00887A6C" w:rsidRPr="008820DC" w:rsidRDefault="00887A6C" w:rsidP="0049171F">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relating to such activity or publicity;</w:t>
      </w:r>
    </w:p>
    <w:p w14:paraId="6AE7C31A"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5834B1DB" w14:textId="77777777" w:rsidR="00887A6C" w:rsidRPr="008820DC" w:rsidRDefault="00887A6C" w:rsidP="0049171F">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789810AC"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7CC488D2" w14:textId="77777777" w:rsidR="003251C2" w:rsidRPr="00F72A20" w:rsidRDefault="00887A6C" w:rsidP="0049171F">
      <w:pPr>
        <w:pStyle w:val="MRheading3"/>
        <w:spacing w:before="60" w:after="160" w:line="276" w:lineRule="auto"/>
        <w:rPr>
          <w:rFonts w:cs="Arial"/>
          <w:kern w:val="20"/>
          <w:szCs w:val="22"/>
        </w:rPr>
      </w:pPr>
      <w:bookmarkStart w:id="17"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17"/>
      <w:r w:rsidRPr="008820DC">
        <w:rPr>
          <w:rFonts w:cs="Arial"/>
          <w:kern w:val="20"/>
          <w:szCs w:val="22"/>
        </w:rPr>
        <w:t xml:space="preserve">; </w:t>
      </w:r>
    </w:p>
    <w:p w14:paraId="1AC1E7B0" w14:textId="77777777" w:rsidR="003251C2" w:rsidRDefault="00887A6C" w:rsidP="0049171F">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14:paraId="1BE2071C" w14:textId="77777777" w:rsidR="00455FF2" w:rsidRDefault="003251C2" w:rsidP="0049171F">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49376B2D" w14:textId="77777777" w:rsidR="00E201B7" w:rsidRPr="00E201B7" w:rsidRDefault="00E201B7" w:rsidP="0049171F">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6E178B6A" w14:textId="77777777" w:rsidR="00887A6C" w:rsidRPr="008820DC" w:rsidRDefault="00887A6C" w:rsidP="0049171F">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184C5B32"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4453400A" w14:textId="77777777" w:rsidR="00887A6C" w:rsidRPr="008820DC" w:rsidRDefault="00887A6C" w:rsidP="0049171F">
      <w:pPr>
        <w:pStyle w:val="MRheading2"/>
        <w:spacing w:before="60" w:after="160" w:line="276" w:lineRule="auto"/>
        <w:rPr>
          <w:rFonts w:cs="Arial"/>
          <w:szCs w:val="22"/>
        </w:rPr>
      </w:pPr>
      <w:r w:rsidRPr="008820DC">
        <w:rPr>
          <w:rFonts w:cs="Arial"/>
          <w:szCs w:val="22"/>
        </w:rPr>
        <w:lastRenderedPageBreak/>
        <w:t>Risk and title in the Goods delivered to the British Council shall pass to the British Council on delivery.</w:t>
      </w:r>
    </w:p>
    <w:p w14:paraId="48CCA649" w14:textId="77777777" w:rsidR="00887A6C" w:rsidRPr="008820DC" w:rsidRDefault="00887A6C" w:rsidP="0049171F">
      <w:pPr>
        <w:pStyle w:val="MRheading1"/>
        <w:spacing w:before="60" w:after="160" w:line="276" w:lineRule="auto"/>
        <w:rPr>
          <w:rFonts w:cs="Arial"/>
          <w:szCs w:val="22"/>
        </w:rPr>
      </w:pPr>
      <w:bookmarkStart w:id="18" w:name="_Toc242083844"/>
      <w:bookmarkStart w:id="19" w:name="_Toc244068925"/>
      <w:bookmarkStart w:id="20" w:name="a267819"/>
      <w:r w:rsidRPr="008820DC">
        <w:rPr>
          <w:rFonts w:cs="Arial"/>
          <w:szCs w:val="22"/>
        </w:rPr>
        <w:t>Status</w:t>
      </w:r>
      <w:bookmarkEnd w:id="18"/>
      <w:bookmarkEnd w:id="19"/>
      <w:r w:rsidRPr="008820DC">
        <w:rPr>
          <w:rFonts w:cs="Arial"/>
          <w:szCs w:val="22"/>
        </w:rPr>
        <w:t xml:space="preserve"> </w:t>
      </w:r>
      <w:bookmarkEnd w:id="20"/>
    </w:p>
    <w:p w14:paraId="6E141283" w14:textId="77777777" w:rsidR="00887A6C" w:rsidRPr="008820DC" w:rsidRDefault="00887A6C" w:rsidP="0049171F">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13171D2F" w14:textId="77777777" w:rsidR="00887A6C" w:rsidRPr="008820DC" w:rsidRDefault="00887A6C" w:rsidP="0049171F">
      <w:pPr>
        <w:pStyle w:val="MRheading2"/>
        <w:spacing w:before="60" w:after="160" w:line="276" w:lineRule="auto"/>
        <w:rPr>
          <w:rFonts w:cs="Arial"/>
          <w:szCs w:val="22"/>
        </w:rPr>
      </w:pPr>
      <w:bookmarkStart w:id="21"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1"/>
    </w:p>
    <w:p w14:paraId="78C755A2"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122D2596" w14:textId="77777777" w:rsidR="00887A6C" w:rsidRPr="008820DC" w:rsidRDefault="00887A6C" w:rsidP="0049171F">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907972C" w14:textId="77777777" w:rsidR="00887A6C" w:rsidRPr="008820DC" w:rsidRDefault="00887A6C" w:rsidP="0049171F">
      <w:pPr>
        <w:pStyle w:val="MRheading1"/>
        <w:spacing w:before="60" w:after="160" w:line="276" w:lineRule="auto"/>
        <w:rPr>
          <w:rFonts w:cs="Arial"/>
          <w:szCs w:val="22"/>
        </w:rPr>
      </w:pPr>
      <w:bookmarkStart w:id="22" w:name="_Toc207776105"/>
      <w:bookmarkStart w:id="23" w:name="_Toc207776253"/>
      <w:bookmarkStart w:id="24" w:name="_Ref262222645"/>
      <w:r w:rsidRPr="008820DC">
        <w:rPr>
          <w:rFonts w:cs="Arial"/>
          <w:szCs w:val="22"/>
        </w:rPr>
        <w:t>Price and Payment</w:t>
      </w:r>
      <w:bookmarkEnd w:id="22"/>
      <w:bookmarkEnd w:id="23"/>
      <w:bookmarkEnd w:id="24"/>
    </w:p>
    <w:p w14:paraId="633F6F37" w14:textId="77777777" w:rsidR="00887A6C" w:rsidRPr="008820DC" w:rsidRDefault="00887A6C" w:rsidP="0049171F">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139A70F7"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26EC815C"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2C33C4">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A2B60CA" w14:textId="77777777" w:rsidR="00887A6C" w:rsidRPr="008820DC" w:rsidRDefault="00887A6C" w:rsidP="0049171F">
      <w:pPr>
        <w:pStyle w:val="MRheading2"/>
        <w:spacing w:before="60" w:after="160" w:line="276" w:lineRule="auto"/>
        <w:rPr>
          <w:rFonts w:cs="Arial"/>
          <w:szCs w:val="22"/>
        </w:rPr>
      </w:pPr>
      <w:bookmarkStart w:id="25"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5"/>
    </w:p>
    <w:p w14:paraId="4D2D1254" w14:textId="77777777" w:rsidR="00887A6C" w:rsidRDefault="00887A6C" w:rsidP="0049171F">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524FE66" w14:textId="77777777" w:rsidR="0065228D" w:rsidRPr="000F4CAE" w:rsidRDefault="0065228D" w:rsidP="0049171F">
      <w:pPr>
        <w:pStyle w:val="MRheading2"/>
        <w:spacing w:before="60" w:after="160" w:line="276" w:lineRule="auto"/>
      </w:pPr>
      <w:bookmarkStart w:id="26" w:name="_Ref62835457"/>
      <w:r w:rsidRPr="000F4CAE">
        <w:t xml:space="preserve">Where the </w:t>
      </w:r>
      <w:r>
        <w:t>Supplier</w:t>
      </w:r>
      <w:r w:rsidRPr="000F4CAE">
        <w:t xml:space="preserve"> enters into a Sub-Contract, the </w:t>
      </w:r>
      <w:r>
        <w:t>Supplier shall:</w:t>
      </w:r>
      <w:bookmarkEnd w:id="26"/>
    </w:p>
    <w:p w14:paraId="07407FC0" w14:textId="77777777" w:rsidR="0065228D" w:rsidRPr="000F4CAE" w:rsidRDefault="0065228D" w:rsidP="0049171F">
      <w:pPr>
        <w:pStyle w:val="MRheading3"/>
        <w:spacing w:before="60" w:after="160" w:line="276" w:lineRule="auto"/>
      </w:pPr>
      <w:bookmarkStart w:id="27" w:name="_Ref62835478"/>
      <w:r w:rsidRPr="000F4CAE">
        <w:lastRenderedPageBreak/>
        <w:t>pay any valid invoice received from its subcontractor within 30 days following receipt of the relevant invoice payable under the Sub-Contract; and</w:t>
      </w:r>
      <w:bookmarkEnd w:id="27"/>
    </w:p>
    <w:p w14:paraId="5071A36B" w14:textId="77777777" w:rsidR="0065228D" w:rsidRPr="000F4CAE" w:rsidRDefault="0065228D" w:rsidP="0049171F">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722EC8">
        <w:fldChar w:fldCharType="separate"/>
      </w:r>
      <w:r w:rsidR="002C33C4">
        <w:t>4.6.1</w:t>
      </w:r>
      <w:r w:rsidR="00722EC8">
        <w:fldChar w:fldCharType="end"/>
      </w:r>
      <w:r w:rsidR="00722EC8">
        <w:t xml:space="preserve"> </w:t>
      </w:r>
      <w:r w:rsidRPr="000F4CAE">
        <w:t>of this Agreement.</w:t>
      </w:r>
    </w:p>
    <w:p w14:paraId="32972254" w14:textId="77777777" w:rsidR="0065228D" w:rsidRPr="0065228D" w:rsidRDefault="0065228D" w:rsidP="0049171F">
      <w:pPr>
        <w:pStyle w:val="MRheading2"/>
        <w:spacing w:before="60" w:after="160" w:line="276" w:lineRule="auto"/>
      </w:pPr>
      <w:r>
        <w:t xml:space="preserve">In clause </w:t>
      </w:r>
      <w:r w:rsidR="00722EC8">
        <w:fldChar w:fldCharType="begin"/>
      </w:r>
      <w:r w:rsidR="00722EC8">
        <w:instrText xml:space="preserve"> REF _Ref62835457 \r \h </w:instrText>
      </w:r>
      <w:r w:rsidR="00722EC8">
        <w:fldChar w:fldCharType="separate"/>
      </w:r>
      <w:r w:rsidR="002C33C4">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6B0CBDEA" w14:textId="77777777" w:rsidR="00887A6C" w:rsidRPr="008820DC" w:rsidRDefault="00887A6C" w:rsidP="0049171F">
      <w:pPr>
        <w:pStyle w:val="MRheading1"/>
        <w:spacing w:before="60" w:after="160" w:line="276" w:lineRule="auto"/>
        <w:rPr>
          <w:rFonts w:cs="Arial"/>
          <w:szCs w:val="22"/>
        </w:rPr>
      </w:pPr>
      <w:bookmarkStart w:id="28" w:name="_Ref172367282"/>
      <w:bookmarkStart w:id="29" w:name="_Toc207776107"/>
      <w:bookmarkStart w:id="30" w:name="_Toc207776255"/>
      <w:r w:rsidRPr="008820DC">
        <w:rPr>
          <w:rFonts w:cs="Arial"/>
          <w:szCs w:val="22"/>
        </w:rPr>
        <w:t>Change Control</w:t>
      </w:r>
      <w:bookmarkEnd w:id="28"/>
      <w:bookmarkEnd w:id="29"/>
      <w:bookmarkEnd w:id="30"/>
    </w:p>
    <w:p w14:paraId="62DEAC32" w14:textId="77777777" w:rsidR="00887A6C" w:rsidRPr="008820DC" w:rsidRDefault="00887A6C" w:rsidP="0049171F">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1380F37A" w14:textId="77777777" w:rsidR="00887A6C" w:rsidRPr="008820DC" w:rsidRDefault="00887A6C" w:rsidP="0049171F">
      <w:pPr>
        <w:pStyle w:val="MRheading1"/>
        <w:spacing w:before="60" w:after="160" w:line="276" w:lineRule="auto"/>
        <w:rPr>
          <w:rFonts w:cs="Arial"/>
          <w:szCs w:val="22"/>
        </w:rPr>
      </w:pPr>
      <w:bookmarkStart w:id="31" w:name="_Toc207776110"/>
      <w:bookmarkStart w:id="32" w:name="_Toc207776258"/>
      <w:bookmarkStart w:id="33" w:name="_Ref261618226"/>
      <w:bookmarkStart w:id="34" w:name="_Ref390076141"/>
      <w:bookmarkStart w:id="35" w:name="_Ref390076153"/>
      <w:bookmarkStart w:id="36" w:name="_Ref394411322"/>
      <w:bookmarkStart w:id="37" w:name="_Ref394411330"/>
      <w:r w:rsidRPr="008820DC">
        <w:rPr>
          <w:rFonts w:cs="Arial"/>
          <w:szCs w:val="22"/>
        </w:rPr>
        <w:t>Intellectual Property Rights</w:t>
      </w:r>
      <w:bookmarkEnd w:id="31"/>
      <w:bookmarkEnd w:id="32"/>
      <w:bookmarkEnd w:id="33"/>
      <w:bookmarkEnd w:id="34"/>
      <w:bookmarkEnd w:id="35"/>
      <w:bookmarkEnd w:id="36"/>
      <w:bookmarkEnd w:id="37"/>
    </w:p>
    <w:p w14:paraId="550945B8"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C33C4">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5FC478BC" w14:textId="77777777" w:rsidR="00887A6C" w:rsidRPr="008820DC" w:rsidRDefault="00887A6C" w:rsidP="0049171F">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0F58BCC9" w14:textId="77777777" w:rsidR="00887A6C" w:rsidRPr="008820DC" w:rsidRDefault="00887A6C" w:rsidP="0049171F">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5A4F217E"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28C4BAA3"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1E38CD38" w14:textId="77777777" w:rsidR="00887A6C" w:rsidRPr="008820DC" w:rsidRDefault="00887A6C" w:rsidP="0049171F">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04259432" w14:textId="77777777" w:rsidR="00887A6C" w:rsidRPr="008820DC" w:rsidRDefault="00280A32" w:rsidP="0049171F">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30B2F424"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5C4CE8D6" w14:textId="77777777" w:rsidR="00887A6C" w:rsidRPr="008820DC" w:rsidRDefault="00887A6C" w:rsidP="0049171F">
      <w:pPr>
        <w:pStyle w:val="MRheading2"/>
        <w:spacing w:before="60" w:after="160" w:line="276" w:lineRule="auto"/>
        <w:rPr>
          <w:rFonts w:cs="Arial"/>
          <w:szCs w:val="22"/>
        </w:rPr>
      </w:pPr>
      <w:r w:rsidRPr="008820DC">
        <w:rPr>
          <w:rFonts w:cs="Arial"/>
          <w:szCs w:val="22"/>
        </w:rPr>
        <w:lastRenderedPageBreak/>
        <w:t xml:space="preserve">The Supplier warrants that it has in place contractual arrangements with all members of the Supplier’s Team assigning to the Supplier their Intellectual Property Rights and waiving their moral rights (if any) in the Deliverables such that the Supplier can </w:t>
      </w:r>
      <w:proofErr w:type="gramStart"/>
      <w:r w:rsidRPr="008820DC">
        <w:rPr>
          <w:rFonts w:cs="Arial"/>
          <w:szCs w:val="22"/>
        </w:rPr>
        <w:t>enter into</w:t>
      </w:r>
      <w:proofErr w:type="gramEnd"/>
      <w:r w:rsidRPr="008820DC">
        <w:rPr>
          <w:rFonts w:cs="Arial"/>
          <w:szCs w:val="22"/>
        </w:rPr>
        <w:t xml:space="preserve">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2C33C4">
        <w:rPr>
          <w:rFonts w:cs="Arial"/>
          <w:szCs w:val="22"/>
        </w:rPr>
        <w:t>6</w:t>
      </w:r>
      <w:r w:rsidRPr="008820DC">
        <w:rPr>
          <w:rFonts w:cs="Arial"/>
          <w:szCs w:val="22"/>
        </w:rPr>
        <w:fldChar w:fldCharType="end"/>
      </w:r>
      <w:r w:rsidRPr="008820DC">
        <w:rPr>
          <w:rFonts w:cs="Arial"/>
          <w:szCs w:val="22"/>
        </w:rPr>
        <w:t>.</w:t>
      </w:r>
    </w:p>
    <w:p w14:paraId="0D8D38D4"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2C33C4">
        <w:rPr>
          <w:rFonts w:cs="Arial"/>
          <w:szCs w:val="22"/>
        </w:rPr>
        <w:t>6</w:t>
      </w:r>
      <w:r w:rsidRPr="008820DC">
        <w:rPr>
          <w:rFonts w:cs="Arial"/>
          <w:szCs w:val="22"/>
        </w:rPr>
        <w:fldChar w:fldCharType="end"/>
      </w:r>
      <w:r w:rsidRPr="008820DC">
        <w:rPr>
          <w:rFonts w:cs="Arial"/>
          <w:szCs w:val="22"/>
        </w:rPr>
        <w:t>.</w:t>
      </w:r>
    </w:p>
    <w:p w14:paraId="7DC9E3BF" w14:textId="77777777"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45330235" w14:textId="77777777" w:rsidR="00887A6C" w:rsidRPr="008820DC" w:rsidRDefault="00887A6C" w:rsidP="0049171F">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50E893C7" w14:textId="77777777" w:rsidR="00887A6C" w:rsidRPr="008820DC" w:rsidRDefault="00887A6C" w:rsidP="0049171F">
      <w:pPr>
        <w:pStyle w:val="MRheading1"/>
        <w:spacing w:before="60" w:after="160" w:line="276" w:lineRule="auto"/>
        <w:rPr>
          <w:rFonts w:cs="Arial"/>
          <w:szCs w:val="22"/>
        </w:rPr>
      </w:pPr>
      <w:bookmarkStart w:id="38" w:name="_Ref172367191"/>
      <w:bookmarkStart w:id="39" w:name="_Toc207776113"/>
      <w:bookmarkStart w:id="40" w:name="_Toc207776261"/>
      <w:r w:rsidRPr="008820DC">
        <w:rPr>
          <w:rFonts w:cs="Arial"/>
          <w:szCs w:val="22"/>
        </w:rPr>
        <w:t>Confidentiality</w:t>
      </w:r>
      <w:bookmarkEnd w:id="38"/>
      <w:bookmarkEnd w:id="39"/>
      <w:bookmarkEnd w:id="40"/>
    </w:p>
    <w:p w14:paraId="057A220C" w14:textId="77777777" w:rsidR="00887A6C" w:rsidRPr="008820DC" w:rsidRDefault="00887A6C" w:rsidP="0049171F">
      <w:pPr>
        <w:pStyle w:val="MRheading2"/>
        <w:spacing w:before="60" w:after="160" w:line="276" w:lineRule="auto"/>
        <w:rPr>
          <w:rFonts w:cs="Arial"/>
          <w:szCs w:val="22"/>
        </w:rPr>
      </w:pPr>
      <w:bookmarkStart w:id="41"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C33C4">
        <w:rPr>
          <w:rFonts w:cs="Arial"/>
          <w:szCs w:val="22"/>
        </w:rPr>
        <w:t>7</w:t>
      </w:r>
      <w:r w:rsidRPr="008820DC">
        <w:rPr>
          <w:rFonts w:cs="Arial"/>
          <w:szCs w:val="22"/>
        </w:rPr>
        <w:fldChar w:fldCharType="end"/>
      </w:r>
      <w:r w:rsidRPr="008820DC">
        <w:rPr>
          <w:rFonts w:cs="Arial"/>
          <w:szCs w:val="22"/>
        </w:rPr>
        <w:t>:</w:t>
      </w:r>
    </w:p>
    <w:p w14:paraId="3978D74A"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6BE7FCCF"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3DDA839D" w14:textId="77777777" w:rsidR="00887A6C" w:rsidRPr="008820DC" w:rsidRDefault="00887A6C" w:rsidP="0049171F">
      <w:pPr>
        <w:pStyle w:val="MRheading2"/>
        <w:spacing w:before="60" w:after="160" w:line="276" w:lineRule="auto"/>
        <w:rPr>
          <w:rFonts w:cs="Arial"/>
          <w:szCs w:val="22"/>
        </w:rPr>
      </w:pPr>
      <w:bookmarkStart w:id="42" w:name="_Ref208381333"/>
      <w:r w:rsidRPr="008820DC">
        <w:rPr>
          <w:rFonts w:cs="Arial"/>
          <w:szCs w:val="22"/>
        </w:rPr>
        <w:t>The Receiving Party shall take all necessary precautions to ensure that all Confidential Information it receives under or in connection with this Agreement:</w:t>
      </w:r>
      <w:bookmarkEnd w:id="41"/>
      <w:bookmarkEnd w:id="42"/>
    </w:p>
    <w:p w14:paraId="02F805F7" w14:textId="77777777" w:rsidR="00887A6C" w:rsidRPr="008820DC" w:rsidRDefault="00887A6C" w:rsidP="0049171F">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000985BD" w14:textId="77777777" w:rsidR="00887A6C" w:rsidRPr="008820DC" w:rsidRDefault="00887A6C" w:rsidP="0049171F">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085C4F33" w14:textId="77777777" w:rsidR="00887A6C" w:rsidRPr="008820DC" w:rsidRDefault="00887A6C" w:rsidP="0049171F">
      <w:pPr>
        <w:pStyle w:val="MRheading2"/>
        <w:spacing w:before="60" w:after="160" w:line="276" w:lineRule="auto"/>
        <w:rPr>
          <w:rFonts w:cs="Arial"/>
          <w:szCs w:val="22"/>
        </w:rPr>
      </w:pPr>
      <w:bookmarkStart w:id="43"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3"/>
    </w:p>
    <w:p w14:paraId="58571017"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2C33C4">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2C33C4">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1F1136E9"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C33C4">
        <w:rPr>
          <w:rFonts w:cs="Arial"/>
          <w:szCs w:val="22"/>
        </w:rPr>
        <w:t>7</w:t>
      </w:r>
      <w:r w:rsidRPr="008820DC">
        <w:rPr>
          <w:rFonts w:cs="Arial"/>
          <w:szCs w:val="22"/>
        </w:rPr>
        <w:fldChar w:fldCharType="end"/>
      </w:r>
      <w:proofErr w:type="gramStart"/>
      <w:r w:rsidRPr="008820DC">
        <w:rPr>
          <w:rFonts w:cs="Arial"/>
          <w:szCs w:val="22"/>
        </w:rPr>
        <w:t>);</w:t>
      </w:r>
      <w:proofErr w:type="gramEnd"/>
    </w:p>
    <w:p w14:paraId="72743DB1" w14:textId="77777777" w:rsidR="00887A6C" w:rsidRPr="008820DC" w:rsidRDefault="00887A6C" w:rsidP="0049171F">
      <w:pPr>
        <w:pStyle w:val="MRheading3"/>
        <w:spacing w:before="60" w:after="160" w:line="276" w:lineRule="auto"/>
        <w:rPr>
          <w:rFonts w:cs="Arial"/>
          <w:szCs w:val="22"/>
        </w:rPr>
      </w:pPr>
      <w:r w:rsidRPr="008820DC">
        <w:rPr>
          <w:rFonts w:cs="Arial"/>
          <w:szCs w:val="22"/>
        </w:rPr>
        <w:t>was in the possession of the Receiving Party, without restriction as to its disclosure, before receiving it from the Disclosing Party;</w:t>
      </w:r>
    </w:p>
    <w:p w14:paraId="706FA037"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is received from a third party who lawfully acquired it and who is under no obligation restricting its disclosure;</w:t>
      </w:r>
    </w:p>
    <w:p w14:paraId="056253FF" w14:textId="77777777" w:rsidR="00887A6C" w:rsidRPr="008820DC" w:rsidRDefault="00887A6C" w:rsidP="0049171F">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283D1469" w14:textId="77777777" w:rsidR="00887A6C" w:rsidRPr="008820DC" w:rsidRDefault="00887A6C" w:rsidP="0049171F">
      <w:pPr>
        <w:pStyle w:val="MRheading3"/>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14:paraId="4A44D184" w14:textId="77777777" w:rsidR="00887A6C" w:rsidRPr="008820DC" w:rsidRDefault="00887A6C" w:rsidP="0049171F">
      <w:pPr>
        <w:pStyle w:val="MRheading2"/>
        <w:spacing w:before="60" w:after="160" w:line="276" w:lineRule="auto"/>
        <w:rPr>
          <w:rFonts w:cs="Arial"/>
          <w:szCs w:val="22"/>
        </w:rPr>
      </w:pPr>
      <w:proofErr w:type="gramStart"/>
      <w:r w:rsidRPr="008820DC">
        <w:rPr>
          <w:rFonts w:cs="Arial"/>
          <w:szCs w:val="22"/>
        </w:rPr>
        <w:t>In the event that</w:t>
      </w:r>
      <w:proofErr w:type="gramEnd"/>
      <w:r w:rsidRPr="008820DC">
        <w:rPr>
          <w:rFonts w:cs="Arial"/>
          <w:szCs w:val="22"/>
        </w:rPr>
        <w:t xml:space="preserve">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C33C4">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4D2698D5"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C33C4">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5CC20216"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19D6F69D" w14:textId="77777777" w:rsidR="00887A6C" w:rsidRPr="008820DC" w:rsidRDefault="00887A6C" w:rsidP="0049171F">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66BF98BC"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F534ADF"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96C4067"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68EF7EC4" w14:textId="77777777" w:rsidR="00887A6C" w:rsidRPr="008820DC" w:rsidRDefault="00887A6C" w:rsidP="0049171F">
      <w:pPr>
        <w:pStyle w:val="MRheading3"/>
        <w:spacing w:before="60" w:after="160" w:line="276" w:lineRule="auto"/>
        <w:rPr>
          <w:rFonts w:cs="Arial"/>
          <w:szCs w:val="22"/>
        </w:rPr>
      </w:pPr>
      <w:bookmarkStart w:id="44" w:name="_Ref381198723"/>
      <w:r w:rsidRPr="008820DC">
        <w:rPr>
          <w:rFonts w:cs="Arial"/>
          <w:szCs w:val="22"/>
        </w:rPr>
        <w:t>in certain circumstances without consulting the Supplier; or</w:t>
      </w:r>
      <w:bookmarkEnd w:id="44"/>
    </w:p>
    <w:p w14:paraId="46DF0CC1" w14:textId="77777777" w:rsidR="00887A6C" w:rsidRPr="008820DC" w:rsidRDefault="00887A6C" w:rsidP="0049171F">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75F92300" w14:textId="77777777" w:rsidR="00887A6C" w:rsidRPr="008820DC" w:rsidRDefault="00887A6C" w:rsidP="0049171F">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2C33C4">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71C09D80"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2C33C4">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056723ED" w14:textId="77777777" w:rsidR="00887A6C" w:rsidRPr="008820DC" w:rsidRDefault="00887A6C" w:rsidP="0049171F">
      <w:pPr>
        <w:pStyle w:val="MRheading1"/>
        <w:spacing w:before="60" w:after="160" w:line="276" w:lineRule="auto"/>
        <w:rPr>
          <w:rFonts w:cs="Arial"/>
          <w:szCs w:val="22"/>
        </w:rPr>
      </w:pPr>
      <w:bookmarkStart w:id="45" w:name="_Ref172690718"/>
      <w:bookmarkStart w:id="46" w:name="_Toc207776112"/>
      <w:bookmarkStart w:id="47" w:name="_Toc207776260"/>
      <w:r w:rsidRPr="008820DC">
        <w:rPr>
          <w:rFonts w:cs="Arial"/>
          <w:szCs w:val="22"/>
        </w:rPr>
        <w:lastRenderedPageBreak/>
        <w:t>Limitation of Liability</w:t>
      </w:r>
      <w:bookmarkEnd w:id="45"/>
      <w:bookmarkEnd w:id="46"/>
      <w:bookmarkEnd w:id="47"/>
    </w:p>
    <w:p w14:paraId="60D9E847" w14:textId="77777777" w:rsidR="00887A6C" w:rsidRPr="008820DC" w:rsidRDefault="00887A6C" w:rsidP="0049171F">
      <w:pPr>
        <w:pStyle w:val="MRheading2"/>
        <w:spacing w:before="60" w:after="160" w:line="276" w:lineRule="auto"/>
        <w:rPr>
          <w:rFonts w:cs="Arial"/>
          <w:szCs w:val="22"/>
        </w:rPr>
      </w:pPr>
      <w:bookmarkStart w:id="48" w:name="_Ref289085430"/>
      <w:bookmarkStart w:id="49"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8"/>
    </w:p>
    <w:p w14:paraId="22B0D9F1" w14:textId="77777777" w:rsidR="00887A6C" w:rsidRPr="008820DC" w:rsidRDefault="00887A6C" w:rsidP="0049171F">
      <w:pPr>
        <w:pStyle w:val="MRheading2"/>
        <w:spacing w:before="60" w:after="160" w:line="276" w:lineRule="auto"/>
        <w:rPr>
          <w:rFonts w:cs="Arial"/>
          <w:szCs w:val="22"/>
        </w:rPr>
      </w:pPr>
      <w:bookmarkStart w:id="50"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2C33C4">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0"/>
    </w:p>
    <w:p w14:paraId="75A5A67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2C33C4">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2C33C4">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6EF06B70" w14:textId="77777777" w:rsidR="00887A6C" w:rsidRPr="008820DC" w:rsidRDefault="00887A6C" w:rsidP="0049171F">
      <w:pPr>
        <w:pStyle w:val="MRheading1"/>
        <w:spacing w:before="60" w:after="160" w:line="276" w:lineRule="auto"/>
        <w:rPr>
          <w:rFonts w:cs="Arial"/>
          <w:szCs w:val="22"/>
        </w:rPr>
      </w:pPr>
      <w:bookmarkStart w:id="51" w:name="_Ref172691842"/>
      <w:bookmarkStart w:id="52" w:name="_Toc207776115"/>
      <w:bookmarkStart w:id="53" w:name="_Toc207776263"/>
      <w:bookmarkEnd w:id="49"/>
      <w:r w:rsidRPr="008820DC">
        <w:rPr>
          <w:rFonts w:cs="Arial"/>
          <w:szCs w:val="22"/>
        </w:rPr>
        <w:t>Termination</w:t>
      </w:r>
      <w:bookmarkEnd w:id="51"/>
      <w:bookmarkEnd w:id="52"/>
      <w:bookmarkEnd w:id="53"/>
    </w:p>
    <w:p w14:paraId="18568EB7" w14:textId="77777777" w:rsidR="00887A6C" w:rsidRPr="008820DC" w:rsidRDefault="00887A6C" w:rsidP="0049171F">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4BADD307" w14:textId="77777777" w:rsidR="00887A6C" w:rsidRPr="008820DC" w:rsidRDefault="00887A6C" w:rsidP="0049171F">
      <w:pPr>
        <w:pStyle w:val="MRheading3"/>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14:paraId="6685977F" w14:textId="77777777" w:rsidR="00887A6C" w:rsidRPr="008820DC" w:rsidRDefault="00887A6C" w:rsidP="0049171F">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2E11C8D1" w14:textId="77777777" w:rsidR="00887A6C" w:rsidRPr="008820DC" w:rsidRDefault="00887A6C" w:rsidP="0049171F">
      <w:pPr>
        <w:pStyle w:val="MRheading3"/>
        <w:spacing w:before="60" w:after="160" w:line="276" w:lineRule="auto"/>
        <w:rPr>
          <w:rFonts w:cs="Arial"/>
          <w:szCs w:val="22"/>
        </w:rPr>
      </w:pPr>
      <w:r w:rsidRPr="008820DC">
        <w:rPr>
          <w:rFonts w:cs="Arial"/>
          <w:szCs w:val="22"/>
        </w:rPr>
        <w:t>the Supplier or any Relevant Person is:</w:t>
      </w:r>
    </w:p>
    <w:p w14:paraId="7B51C00E" w14:textId="77777777" w:rsidR="00887A6C" w:rsidRPr="008820DC" w:rsidRDefault="00887A6C" w:rsidP="0049171F">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0A41D9E4"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1B50BC99"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035FF8FA" w14:textId="77777777" w:rsidR="00887A6C" w:rsidRPr="008820DC" w:rsidRDefault="00887A6C" w:rsidP="0049171F">
      <w:pPr>
        <w:pStyle w:val="MRheading4"/>
        <w:spacing w:before="60" w:after="160" w:line="276" w:lineRule="auto"/>
        <w:rPr>
          <w:rFonts w:cs="Arial"/>
          <w:szCs w:val="22"/>
        </w:rPr>
      </w:pPr>
      <w:r w:rsidRPr="008820DC">
        <w:rPr>
          <w:rFonts w:cs="Arial"/>
          <w:szCs w:val="22"/>
        </w:rPr>
        <w:t>guilty of any fraud, dishonesty or serious misconduct.</w:t>
      </w:r>
    </w:p>
    <w:p w14:paraId="13DF3590" w14:textId="77777777" w:rsidR="00887A6C" w:rsidRPr="008820DC" w:rsidRDefault="00887A6C" w:rsidP="0049171F">
      <w:pPr>
        <w:pStyle w:val="MRheading2"/>
        <w:spacing w:before="60" w:after="160" w:line="276" w:lineRule="auto"/>
        <w:rPr>
          <w:rFonts w:cs="Arial"/>
          <w:szCs w:val="22"/>
        </w:rPr>
      </w:pPr>
      <w:bookmarkStart w:id="54" w:name="_Ref266713809"/>
      <w:bookmarkStart w:id="55" w:name="a660795"/>
      <w:r w:rsidRPr="008820DC">
        <w:rPr>
          <w:rFonts w:cs="Arial"/>
          <w:szCs w:val="22"/>
        </w:rPr>
        <w:t>Either party may give notice in writing to the other terminating this Agreement with immediate effect if:</w:t>
      </w:r>
      <w:bookmarkEnd w:id="54"/>
    </w:p>
    <w:p w14:paraId="75168544"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remedy, </w:t>
      </w:r>
      <w:r w:rsidRPr="008820DC">
        <w:rPr>
          <w:rFonts w:cs="Arial"/>
          <w:szCs w:val="22"/>
        </w:rPr>
        <w:lastRenderedPageBreak/>
        <w:t>the terminating party shall be entitled to terminate the Agreement with immediate effect);</w:t>
      </w:r>
      <w:r w:rsidR="009B6C11">
        <w:rPr>
          <w:rFonts w:cs="Arial"/>
          <w:szCs w:val="22"/>
        </w:rPr>
        <w:t xml:space="preserve"> or</w:t>
      </w:r>
    </w:p>
    <w:p w14:paraId="7C036521" w14:textId="77777777" w:rsidR="00887A6C" w:rsidRPr="008820DC" w:rsidRDefault="00887A6C" w:rsidP="0049171F">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294BA4B1" w14:textId="77777777" w:rsidR="00887A6C" w:rsidRDefault="00887A6C" w:rsidP="0049171F">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55F9DDF6" w14:textId="77777777" w:rsidR="00AA62F4" w:rsidRPr="00AA62F4" w:rsidRDefault="00AA62F4" w:rsidP="0049171F">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6DC50107" w14:textId="77777777" w:rsidR="00AA62F4" w:rsidRPr="00AA62F4" w:rsidRDefault="00AA62F4" w:rsidP="0049171F">
      <w:pPr>
        <w:pStyle w:val="MRheading3"/>
        <w:spacing w:before="60" w:after="160" w:line="276" w:lineRule="auto"/>
        <w:ind w:left="1797" w:hanging="1077"/>
      </w:pPr>
      <w:r w:rsidRPr="00AA62F4">
        <w:t>the British Council’s agreement with the End Client relating to the Services terminates;</w:t>
      </w:r>
    </w:p>
    <w:p w14:paraId="39C56181" w14:textId="77777777" w:rsidR="00A64BC9" w:rsidRDefault="00A64BC9" w:rsidP="0049171F">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14:paraId="643A645C" w14:textId="77777777" w:rsidR="00AA62F4" w:rsidRPr="008820DC" w:rsidRDefault="00AA62F4" w:rsidP="0049171F">
      <w:pPr>
        <w:pStyle w:val="MRheading3"/>
        <w:spacing w:before="60" w:after="160" w:line="276" w:lineRule="auto"/>
        <w:ind w:left="1797" w:hanging="1077"/>
      </w:pPr>
      <w:r w:rsidRPr="00AA62F4">
        <w:t>if the funding for the Services is otherwise withdrawn or ceases.</w:t>
      </w:r>
    </w:p>
    <w:bookmarkEnd w:id="55"/>
    <w:p w14:paraId="2F28F6BD" w14:textId="77777777" w:rsidR="00887A6C" w:rsidRDefault="00887A6C" w:rsidP="0049171F">
      <w:pPr>
        <w:pStyle w:val="MRheading2"/>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18E77EB" w14:textId="77777777" w:rsidR="009312CE" w:rsidRPr="009312CE" w:rsidRDefault="009312CE" w:rsidP="0049171F">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722EC8">
        <w:rPr>
          <w:rFonts w:cs="Arial"/>
          <w:szCs w:val="22"/>
        </w:rPr>
      </w:r>
      <w:r w:rsidR="00722EC8">
        <w:rPr>
          <w:rFonts w:cs="Arial"/>
          <w:szCs w:val="22"/>
        </w:rPr>
        <w:fldChar w:fldCharType="separate"/>
      </w:r>
      <w:r w:rsidR="002C33C4">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2C33C4">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19B423E" w14:textId="77777777" w:rsidR="003F16A1" w:rsidRPr="002B2E27" w:rsidRDefault="003F16A1" w:rsidP="0049171F">
      <w:pPr>
        <w:pStyle w:val="MRheading1"/>
        <w:spacing w:before="60" w:after="160" w:line="276" w:lineRule="auto"/>
        <w:rPr>
          <w:rFonts w:cs="Arial"/>
        </w:rPr>
      </w:pPr>
      <w:r w:rsidRPr="002B2E27">
        <w:rPr>
          <w:rFonts w:cs="Arial"/>
        </w:rPr>
        <w:t>Data Processing</w:t>
      </w:r>
    </w:p>
    <w:p w14:paraId="1C49367E" w14:textId="77777777" w:rsidR="003F16A1" w:rsidRPr="009E2E6E" w:rsidRDefault="003F16A1" w:rsidP="0049171F">
      <w:pPr>
        <w:pStyle w:val="MRheading2"/>
        <w:spacing w:before="60" w:after="160" w:line="276" w:lineRule="auto"/>
        <w:rPr>
          <w:lang w:val="en-US" w:eastAsia="en-US"/>
        </w:rPr>
      </w:pPr>
      <w:bookmarkStart w:id="56" w:name="_Ref511306894"/>
      <w:r w:rsidRPr="009E2E6E">
        <w:t xml:space="preserve">In this </w:t>
      </w:r>
      <w:r>
        <w:t>clause</w:t>
      </w:r>
      <w:r w:rsidRPr="009E2E6E">
        <w:t>:</w:t>
      </w:r>
      <w:bookmarkEnd w:id="56"/>
    </w:p>
    <w:p w14:paraId="3FBC3DD0" w14:textId="77777777" w:rsidR="003F16A1" w:rsidRPr="003F16A1" w:rsidRDefault="003F16A1" w:rsidP="0049171F">
      <w:pPr>
        <w:pStyle w:val="MRheading3"/>
        <w:spacing w:before="60" w:after="160" w:line="276" w:lineRule="auto"/>
        <w:ind w:left="1797" w:hanging="1077"/>
      </w:pPr>
      <w:r w:rsidRPr="003F16A1">
        <w:t>“</w:t>
      </w:r>
      <w:r w:rsidRPr="003F16A1">
        <w:rPr>
          <w:b/>
        </w:rPr>
        <w:t>Controller</w:t>
      </w:r>
      <w:r w:rsidRPr="003F16A1">
        <w:t>” means a “controller” for the purposes of the GDPR (as such legislation is applicable);</w:t>
      </w:r>
    </w:p>
    <w:p w14:paraId="339C3DB0" w14:textId="77777777" w:rsidR="003F16A1" w:rsidRPr="003F16A1" w:rsidRDefault="003F16A1" w:rsidP="0049171F">
      <w:pPr>
        <w:pStyle w:val="MRheading3"/>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this Agreement, including </w:t>
      </w:r>
      <w:r w:rsidR="009B6C11">
        <w:t>the DPA and/</w:t>
      </w:r>
      <w:r w:rsidRPr="003F16A1">
        <w:t xml:space="preserve">or </w:t>
      </w:r>
      <w:r w:rsidR="009B6C11">
        <w:t>the GDPR</w:t>
      </w:r>
      <w:r w:rsidR="00680B72">
        <w:t>, and</w:t>
      </w:r>
      <w:r w:rsidRPr="003F16A1">
        <w:t>/or any corresponding or equivalent national laws or regulations; and any laws which implement any such laws; and any laws that replace, extend, re-enact, consolidate or amend any of the foregoing; all guidance, guidelines, codes of practice and codes of</w:t>
      </w:r>
      <w:r w:rsidR="00C26E74">
        <w:t xml:space="preserve"> conduct issued by any relevant</w:t>
      </w:r>
      <w:r w:rsidRPr="003F16A1">
        <w:t xml:space="preserve"> regulator, authority or body responsible for administering Data Protection Legislation (in each case whether or not legally binding);</w:t>
      </w:r>
    </w:p>
    <w:p w14:paraId="0BF75CB6" w14:textId="77777777" w:rsidR="003F16A1" w:rsidRPr="003F16A1" w:rsidRDefault="003F16A1" w:rsidP="0049171F">
      <w:pPr>
        <w:pStyle w:val="MRheading3"/>
        <w:spacing w:before="60" w:after="160" w:line="276" w:lineRule="auto"/>
        <w:ind w:left="1797" w:hanging="1077"/>
      </w:pPr>
      <w:r w:rsidRPr="003F16A1">
        <w:lastRenderedPageBreak/>
        <w:t>“</w:t>
      </w:r>
      <w:r w:rsidRPr="003F16A1">
        <w:rPr>
          <w:b/>
        </w:rPr>
        <w:t>Data Subject</w:t>
      </w:r>
      <w:r w:rsidRPr="003F16A1">
        <w:t>” has the same meaning as in the Data Protection Legislation;</w:t>
      </w:r>
    </w:p>
    <w:p w14:paraId="2BAC6871" w14:textId="77777777" w:rsidR="003F16A1" w:rsidRPr="003F16A1" w:rsidRDefault="003F16A1" w:rsidP="0049171F">
      <w:pPr>
        <w:pStyle w:val="MRheading3"/>
        <w:spacing w:before="60" w:after="160" w:line="276" w:lineRule="auto"/>
        <w:ind w:left="1797" w:hanging="1077"/>
      </w:pPr>
      <w:r w:rsidRPr="003F16A1">
        <w:t>“</w:t>
      </w:r>
      <w:r w:rsidRPr="003F16A1">
        <w:rPr>
          <w:b/>
        </w:rPr>
        <w:t>DPA</w:t>
      </w:r>
      <w:r w:rsidRPr="003F16A1">
        <w:t>” means</w:t>
      </w:r>
      <w:r w:rsidR="009B6C11">
        <w:t xml:space="preserve"> the UK Data Protection Act 2018</w:t>
      </w:r>
      <w:r w:rsidRPr="003F16A1">
        <w:t>;</w:t>
      </w:r>
    </w:p>
    <w:p w14:paraId="102F84FB" w14:textId="77777777" w:rsidR="003F16A1" w:rsidRPr="003F16A1" w:rsidRDefault="003F16A1" w:rsidP="0049171F">
      <w:pPr>
        <w:pStyle w:val="MRheading3"/>
        <w:spacing w:before="60" w:after="160" w:line="276" w:lineRule="auto"/>
        <w:ind w:left="1797" w:hanging="1077"/>
      </w:pPr>
      <w:r w:rsidRPr="003F16A1">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 xml:space="preserve">or the UK GDPR as defined in the </w:t>
      </w:r>
      <w:r w:rsidR="007743A9">
        <w:rPr>
          <w:rFonts w:cs="Arial"/>
        </w:rPr>
        <w:t>DPA</w:t>
      </w:r>
      <w:r w:rsidR="00152EFA" w:rsidRPr="007C7739">
        <w:rPr>
          <w:rFonts w:cs="Arial"/>
        </w:rPr>
        <w:t xml:space="preserve"> (as</w:t>
      </w:r>
      <w:r w:rsidR="00152EFA" w:rsidRPr="009561E9">
        <w:t xml:space="preserve"> amended</w:t>
      </w:r>
      <w:r w:rsidR="00152EFA">
        <w:t>)</w:t>
      </w:r>
      <w:r w:rsidR="00152EFA" w:rsidRPr="00C67465">
        <w:t>;</w:t>
      </w:r>
    </w:p>
    <w:p w14:paraId="0A0D4111" w14:textId="77777777" w:rsidR="003F16A1" w:rsidRPr="003F16A1" w:rsidRDefault="003F16A1" w:rsidP="0049171F">
      <w:pPr>
        <w:pStyle w:val="MRheading3"/>
        <w:spacing w:before="60" w:after="160" w:line="276" w:lineRule="auto"/>
        <w:ind w:left="1797" w:hanging="1077"/>
      </w:pPr>
      <w:r w:rsidRPr="003F16A1">
        <w:t>“</w:t>
      </w:r>
      <w:r w:rsidRPr="003F16A1">
        <w:rPr>
          <w:b/>
        </w:rPr>
        <w:t>Personal Data</w:t>
      </w:r>
      <w:r w:rsidRPr="003F16A1">
        <w:t>” means “personal data” (as defined in the Data Protection Legislation) that are Processed under this Agreement;</w:t>
      </w:r>
    </w:p>
    <w:p w14:paraId="3985DF46" w14:textId="77777777" w:rsidR="003F16A1" w:rsidRPr="003F16A1" w:rsidRDefault="003F16A1" w:rsidP="0049171F">
      <w:pPr>
        <w:pStyle w:val="MRheading3"/>
        <w:spacing w:before="60" w:after="160" w:line="276" w:lineRule="auto"/>
        <w:ind w:left="1797" w:hanging="1077"/>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FD35FD0" w14:textId="77777777" w:rsidR="003F16A1" w:rsidRPr="003F16A1" w:rsidRDefault="003F16A1" w:rsidP="0049171F">
      <w:pPr>
        <w:pStyle w:val="MRheading3"/>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rsidR="009B6C11">
        <w:t xml:space="preserve">ll be construed accordingly; </w:t>
      </w:r>
    </w:p>
    <w:p w14:paraId="4B0F912B" w14:textId="77777777" w:rsidR="003F16A1" w:rsidRPr="003F16A1" w:rsidRDefault="003F16A1" w:rsidP="0049171F">
      <w:pPr>
        <w:pStyle w:val="MRheading3"/>
        <w:spacing w:before="60" w:after="160" w:line="276" w:lineRule="auto"/>
        <w:ind w:left="1797" w:hanging="1077"/>
      </w:pPr>
      <w:r w:rsidRPr="003F16A1">
        <w:t>“</w:t>
      </w:r>
      <w:r w:rsidRPr="003F16A1">
        <w:rPr>
          <w:b/>
        </w:rPr>
        <w:t>Processor</w:t>
      </w:r>
      <w:r w:rsidRPr="003F16A1">
        <w:t xml:space="preserve">” means a “processor” for the purposes of the GDPR (as </w:t>
      </w:r>
      <w:r w:rsidR="009B6C11">
        <w:t xml:space="preserve">such legislation is applicable); </w:t>
      </w:r>
    </w:p>
    <w:p w14:paraId="2F40F9F6" w14:textId="77777777" w:rsidR="003F16A1" w:rsidRDefault="003F16A1" w:rsidP="0049171F">
      <w:pPr>
        <w:pStyle w:val="MRheading3"/>
        <w:spacing w:before="60" w:after="160" w:line="276" w:lineRule="auto"/>
        <w:ind w:left="1797" w:hanging="1077"/>
      </w:pPr>
      <w:r w:rsidRPr="003F16A1">
        <w:t>“</w:t>
      </w:r>
      <w:r w:rsidRPr="003F16A1">
        <w:rPr>
          <w:b/>
        </w:rPr>
        <w:t>Sub-Processor</w:t>
      </w:r>
      <w:r w:rsidRPr="003F16A1">
        <w:t>” means a third party engaged by</w:t>
      </w:r>
      <w:r w:rsidR="009B6C11">
        <w:t xml:space="preserve"> the Processor to carrying out P</w:t>
      </w:r>
      <w:r w:rsidRPr="003F16A1">
        <w:t>rocessing activities in respect of the Personal Data on behalf of the Processor;</w:t>
      </w:r>
      <w:r w:rsidR="008D614D">
        <w:t xml:space="preserve"> </w:t>
      </w:r>
    </w:p>
    <w:p w14:paraId="6AC215F3" w14:textId="77777777" w:rsidR="00152EFA" w:rsidRDefault="00152EFA" w:rsidP="0049171F">
      <w:pPr>
        <w:pStyle w:val="MRheading3"/>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32D10556" w14:textId="77777777" w:rsidR="00152EFA" w:rsidRPr="003F16A1" w:rsidRDefault="00152EFA" w:rsidP="0049171F">
      <w:pPr>
        <w:pStyle w:val="MRheading3"/>
        <w:spacing w:before="60" w:after="160" w:line="276" w:lineRule="auto"/>
      </w:pPr>
      <w:r>
        <w:t>“</w:t>
      </w:r>
      <w:r w:rsidRPr="007C7739">
        <w:rPr>
          <w:b/>
        </w:rPr>
        <w:t>Third Country</w:t>
      </w:r>
      <w:r>
        <w:t xml:space="preserve">” means a country or territory outside the UK. </w:t>
      </w:r>
    </w:p>
    <w:p w14:paraId="17C689F7" w14:textId="77777777" w:rsidR="003F16A1" w:rsidRPr="00DA0D89" w:rsidRDefault="003F16A1" w:rsidP="0049171F">
      <w:pPr>
        <w:pStyle w:val="MRheading2"/>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14:paraId="36A7746A" w14:textId="77777777" w:rsidR="003F16A1" w:rsidRPr="00DA0D89" w:rsidRDefault="003F16A1" w:rsidP="0049171F">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rsidR="002C33C4">
        <w:t>Schedule 4</w:t>
      </w:r>
      <w:r>
        <w:fldChar w:fldCharType="end"/>
      </w:r>
      <w:r>
        <w:t xml:space="preserve"> </w:t>
      </w:r>
      <w:r w:rsidRPr="00DA0D89">
        <w:t>of</w:t>
      </w:r>
      <w:r>
        <w:t xml:space="preserve"> </w:t>
      </w:r>
      <w:r w:rsidRPr="00DA0D89">
        <w:t>this Agreement.</w:t>
      </w:r>
    </w:p>
    <w:p w14:paraId="5129DC60" w14:textId="77777777" w:rsidR="003F16A1" w:rsidRPr="009E2E6E" w:rsidRDefault="003F16A1" w:rsidP="0049171F">
      <w:pPr>
        <w:pStyle w:val="MRheading2"/>
        <w:spacing w:before="60" w:after="160" w:line="276" w:lineRule="auto"/>
        <w:rPr>
          <w:rFonts w:cs="Arial"/>
        </w:rPr>
      </w:pPr>
      <w:bookmarkStart w:id="57"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57"/>
    </w:p>
    <w:p w14:paraId="4DF82EDC" w14:textId="77777777" w:rsidR="003F16A1" w:rsidRPr="008B47D3" w:rsidRDefault="00152EFA" w:rsidP="0049171F">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rsidR="006B50A9">
        <w:t xml:space="preserve"> clause</w:t>
      </w:r>
      <w:r w:rsidRPr="00A52AAE">
        <w:t xml:space="preserve"> </w:t>
      </w:r>
      <w:r w:rsidR="003F16A1">
        <w:fldChar w:fldCharType="begin"/>
      </w:r>
      <w:r w:rsidR="003F16A1">
        <w:instrText xml:space="preserve"> REF _Ref511307163 \r \h </w:instrText>
      </w:r>
      <w:r w:rsidR="003F16A1">
        <w:fldChar w:fldCharType="separate"/>
      </w:r>
      <w:r w:rsidR="002C33C4">
        <w:t>10.9</w:t>
      </w:r>
      <w:r w:rsidR="003F16A1">
        <w:fldChar w:fldCharType="end"/>
      </w:r>
      <w:proofErr w:type="gramStart"/>
      <w:r w:rsidR="003F16A1" w:rsidRPr="00522DC6">
        <w:t>);</w:t>
      </w:r>
      <w:proofErr w:type="gramEnd"/>
      <w:r w:rsidR="003F16A1" w:rsidRPr="00522DC6">
        <w:t xml:space="preserve"> </w:t>
      </w:r>
    </w:p>
    <w:p w14:paraId="452A7B8C" w14:textId="77777777" w:rsidR="003F16A1" w:rsidRPr="003F16A1" w:rsidRDefault="003F16A1" w:rsidP="0049171F">
      <w:pPr>
        <w:pStyle w:val="MRheading3"/>
        <w:spacing w:before="60" w:after="160" w:line="276"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rsidR="009B6C11">
        <w:t>d purposes of P</w:t>
      </w:r>
      <w:r w:rsidRPr="003F16A1">
        <w:t>rocessing and the likelihood and severity of risk in relation to the rights and freedoms of the Data Subjects;</w:t>
      </w:r>
    </w:p>
    <w:p w14:paraId="09D28A98" w14:textId="77777777" w:rsidR="003F16A1" w:rsidRPr="003F16A1" w:rsidRDefault="003F16A1" w:rsidP="0049171F">
      <w:pPr>
        <w:pStyle w:val="MRheading3"/>
        <w:spacing w:before="60" w:after="160" w:line="276" w:lineRule="auto"/>
        <w:ind w:left="1797" w:hanging="1077"/>
      </w:pPr>
      <w:r w:rsidRPr="003F16A1">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52EFA">
        <w:rPr>
          <w:rFonts w:cs="Arial"/>
        </w:rPr>
      </w:r>
      <w:r w:rsidR="00152EFA">
        <w:rPr>
          <w:rFonts w:cs="Arial"/>
        </w:rPr>
        <w:fldChar w:fldCharType="separate"/>
      </w:r>
      <w:r w:rsidR="002C33C4">
        <w:rPr>
          <w:rFonts w:cs="Arial"/>
        </w:rPr>
        <w:t>Schedule 4</w:t>
      </w:r>
      <w:r w:rsidR="00152EFA">
        <w:rPr>
          <w:rFonts w:cs="Arial"/>
        </w:rPr>
        <w:fldChar w:fldCharType="end"/>
      </w:r>
      <w:r w:rsidR="004F1957">
        <w:rPr>
          <w:rFonts w:cs="Arial"/>
        </w:rPr>
        <w:t xml:space="preserve"> </w:t>
      </w:r>
      <w:r w:rsidR="00152EFA">
        <w:rPr>
          <w:rFonts w:cs="Arial"/>
        </w:rPr>
        <w:t>or separately</w:t>
      </w:r>
      <w:proofErr w:type="gramStart"/>
      <w:r w:rsidR="00152EFA">
        <w:rPr>
          <w:rFonts w:cs="Arial"/>
        </w:rPr>
        <w:t xml:space="preserve">), </w:t>
      </w:r>
      <w:r w:rsidRPr="003F16A1">
        <w:t xml:space="preserve"> the</w:t>
      </w:r>
      <w:proofErr w:type="gramEnd"/>
      <w:r w:rsidRPr="003F16A1">
        <w:t xml:space="preserve"> </w:t>
      </w:r>
      <w:r w:rsidRPr="00E76281">
        <w:rPr>
          <w:rFonts w:eastAsia="Calibri"/>
        </w:rPr>
        <w:t>Supplier</w:t>
      </w:r>
      <w:r w:rsidRPr="003F16A1">
        <w:t xml:space="preserve"> shall</w:t>
      </w:r>
      <w:r w:rsidR="004F1957">
        <w:t xml:space="preserve"> comply with the following conditions</w:t>
      </w:r>
      <w:r w:rsidRPr="003F16A1">
        <w:t>;</w:t>
      </w:r>
    </w:p>
    <w:p w14:paraId="6D1BAFCC" w14:textId="77777777" w:rsidR="003F16A1" w:rsidRPr="00F53154" w:rsidRDefault="003F16A1" w:rsidP="0049171F">
      <w:pPr>
        <w:pStyle w:val="MRheading4"/>
        <w:spacing w:before="60" w:after="160" w:line="276" w:lineRule="auto"/>
      </w:pPr>
      <w:r w:rsidRPr="003F16A1">
        <w:t>provide</w:t>
      </w:r>
      <w:r w:rsidRPr="00F53154">
        <w:t xml:space="preserve"> appropriate safeguards in relation to the transfer;</w:t>
      </w:r>
    </w:p>
    <w:p w14:paraId="5A34295B" w14:textId="77777777" w:rsidR="003F16A1" w:rsidRPr="003F16A1" w:rsidRDefault="003F16A1" w:rsidP="0049171F">
      <w:pPr>
        <w:pStyle w:val="MRheading4"/>
        <w:spacing w:before="60" w:after="160" w:line="276" w:lineRule="auto"/>
      </w:pPr>
      <w:r w:rsidRPr="003F16A1">
        <w:t>ensure the Data Subject has enforceable rights and effective legal remedies;</w:t>
      </w:r>
    </w:p>
    <w:p w14:paraId="1E2378D4" w14:textId="77777777" w:rsidR="003F16A1" w:rsidRPr="003F16A1" w:rsidRDefault="003F16A1" w:rsidP="0049171F">
      <w:pPr>
        <w:pStyle w:val="MRheading4"/>
        <w:spacing w:before="60" w:after="160" w:line="276" w:lineRule="auto"/>
      </w:pPr>
      <w:r w:rsidRPr="003F16A1">
        <w:t>comply with its obligations under the Data Protection Legislation by providing an adequate level of protection to any Per</w:t>
      </w:r>
      <w:r w:rsidR="00311603">
        <w:t>sonal Data that is transferred;</w:t>
      </w:r>
    </w:p>
    <w:p w14:paraId="51DF1EA7" w14:textId="77777777" w:rsidR="003F16A1" w:rsidRPr="003F16A1" w:rsidRDefault="003F16A1" w:rsidP="0049171F">
      <w:pPr>
        <w:pStyle w:val="MRheading4"/>
        <w:spacing w:before="60" w:after="160" w:line="276"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14:paraId="77A7CB00" w14:textId="77777777" w:rsidR="003F16A1" w:rsidRPr="003F16A1" w:rsidRDefault="003F16A1" w:rsidP="0049171F">
      <w:pPr>
        <w:pStyle w:val="MRheading4"/>
        <w:spacing w:before="60" w:after="160" w:line="276"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14:paraId="7B23B323" w14:textId="77777777" w:rsidR="003F16A1" w:rsidRPr="003F16A1" w:rsidRDefault="003F16A1" w:rsidP="0049171F">
      <w:pPr>
        <w:pStyle w:val="MRheading3"/>
        <w:spacing w:before="60" w:after="160" w:line="276" w:lineRule="auto"/>
        <w:ind w:left="1797" w:hanging="1077"/>
      </w:pPr>
      <w:r w:rsidRPr="003F16A1">
        <w:t xml:space="preserve">ensure that any employees </w:t>
      </w:r>
      <w:r w:rsidR="009B6C11">
        <w:t>or other persons authorised to P</w:t>
      </w:r>
      <w:r w:rsidRPr="003F16A1">
        <w:t>rocess the Personal Data are subject to appropriate obligations of confidentiality;</w:t>
      </w:r>
    </w:p>
    <w:p w14:paraId="239C3489" w14:textId="77777777" w:rsidR="003F16A1" w:rsidRPr="003F16A1" w:rsidRDefault="003F16A1" w:rsidP="0049171F">
      <w:pPr>
        <w:pStyle w:val="MRheading3"/>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3A98381F" w14:textId="77777777" w:rsidR="003F16A1" w:rsidRPr="003F16A1" w:rsidRDefault="003F16A1" w:rsidP="0049171F">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7CADDA9E" w14:textId="77777777" w:rsidR="003F16A1" w:rsidRPr="003F16A1" w:rsidRDefault="003F16A1" w:rsidP="0049171F">
      <w:pPr>
        <w:pStyle w:val="MRheading3"/>
        <w:spacing w:before="60" w:after="160" w:line="276" w:lineRule="auto"/>
        <w:ind w:left="1797" w:hanging="1077"/>
      </w:pPr>
      <w:r w:rsidRPr="003F16A1">
        <w:t>notify the British Council immediately on becoming aware of a Personal Data Breach;</w:t>
      </w:r>
    </w:p>
    <w:p w14:paraId="34A8EC0A" w14:textId="77777777" w:rsidR="003F16A1" w:rsidRPr="003F16A1" w:rsidRDefault="003F16A1" w:rsidP="0049171F">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14:paraId="4F741339" w14:textId="77777777" w:rsidR="003F16A1" w:rsidRPr="003F16A1" w:rsidRDefault="003F16A1" w:rsidP="0049171F">
      <w:pPr>
        <w:pStyle w:val="MRheading3"/>
        <w:spacing w:before="60" w:after="160" w:line="276" w:lineRule="auto"/>
        <w:ind w:left="1797" w:hanging="1077"/>
      </w:pPr>
      <w:bookmarkStart w:id="58" w:name="_Ref511306913"/>
      <w:r>
        <w:t>maintain accurate written records of the Processing it carries out in connection with this Agreement</w:t>
      </w:r>
      <w:bookmarkStart w:id="59" w:name="_Ref468348523"/>
      <w:r>
        <w:t xml:space="preserve"> </w:t>
      </w:r>
      <w:bookmarkEnd w:id="59"/>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58"/>
      <w:r w:rsidRPr="003F16A1">
        <w:t xml:space="preserve"> </w:t>
      </w:r>
    </w:p>
    <w:p w14:paraId="33125882" w14:textId="77777777" w:rsidR="003F16A1" w:rsidRPr="003F16A1" w:rsidRDefault="003F16A1" w:rsidP="0049171F">
      <w:pPr>
        <w:pStyle w:val="MRheading2"/>
        <w:spacing w:before="60" w:after="160" w:line="276" w:lineRule="auto"/>
        <w:rPr>
          <w:rFonts w:cs="Arial"/>
          <w:bCs/>
        </w:rPr>
      </w:pPr>
      <w:r w:rsidRPr="003F16A1">
        <w:rPr>
          <w:rFonts w:cs="Arial"/>
          <w:bCs/>
        </w:rPr>
        <w:lastRenderedPageBreak/>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2C33C4">
        <w:rPr>
          <w:rFonts w:cs="Arial"/>
          <w:bCs/>
        </w:rPr>
        <w:t>10.4.9</w:t>
      </w:r>
      <w:r>
        <w:rPr>
          <w:rFonts w:cs="Arial"/>
          <w:bCs/>
        </w:rPr>
        <w:fldChar w:fldCharType="end"/>
      </w:r>
      <w:r w:rsidRPr="003F16A1">
        <w:rPr>
          <w:rFonts w:cs="Arial"/>
          <w:bCs/>
        </w:rPr>
        <w:t>.</w:t>
      </w:r>
    </w:p>
    <w:p w14:paraId="61DA5528" w14:textId="77777777" w:rsidR="003F16A1" w:rsidRPr="003F16A1" w:rsidRDefault="003F16A1" w:rsidP="0049171F">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1001C8E2" w14:textId="77777777" w:rsidR="003F16A1" w:rsidRPr="003F16A1" w:rsidRDefault="003F16A1" w:rsidP="0049171F">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sidR="002C33C4">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2F84486A"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00DADAD6" w14:textId="77777777" w:rsidR="003F16A1" w:rsidRPr="003F16A1" w:rsidRDefault="003F16A1" w:rsidP="0049171F">
      <w:pPr>
        <w:pStyle w:val="MRheading2"/>
        <w:spacing w:before="60" w:after="160" w:line="276" w:lineRule="auto"/>
        <w:rPr>
          <w:rFonts w:cs="Arial"/>
          <w:bCs/>
        </w:rPr>
      </w:pPr>
      <w:bookmarkStart w:id="60"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60"/>
    </w:p>
    <w:p w14:paraId="6709EC6D"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02C003A5" w14:textId="77777777" w:rsidR="00A0206C" w:rsidRPr="00A0206C" w:rsidRDefault="003F16A1" w:rsidP="00C604F0">
      <w:pPr>
        <w:pStyle w:val="MRheading2"/>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sidR="002C33C4">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2C33C4">
        <w:rPr>
          <w:rFonts w:cs="Arial"/>
          <w:bCs/>
        </w:rPr>
        <w:t>10.4.9</w:t>
      </w:r>
      <w:r>
        <w:rPr>
          <w:rFonts w:cs="Arial"/>
          <w:bCs/>
        </w:rPr>
        <w:fldChar w:fldCharType="end"/>
      </w:r>
      <w:r w:rsidRPr="003F16A1">
        <w:rPr>
          <w:rFonts w:cs="Arial"/>
          <w:bCs/>
        </w:rPr>
        <w:t xml:space="preserve"> above. </w:t>
      </w:r>
    </w:p>
    <w:p w14:paraId="1B587B0E" w14:textId="77777777" w:rsidR="00FA2D3E" w:rsidRPr="004B39D3" w:rsidRDefault="00FA2D3E" w:rsidP="00C604F0">
      <w:pPr>
        <w:pStyle w:val="MRheading1"/>
        <w:spacing w:before="60" w:after="160" w:line="276" w:lineRule="auto"/>
        <w:rPr>
          <w:rFonts w:cs="Arial"/>
          <w:szCs w:val="22"/>
        </w:rPr>
      </w:pPr>
      <w:bookmarkStart w:id="61" w:name="_Ref62835618"/>
      <w:bookmarkStart w:id="62" w:name="_Ref511307656"/>
      <w:r w:rsidRPr="004B39D3">
        <w:t>Anti-Corruption, Anti–Collusion and Tax Evasion</w:t>
      </w:r>
      <w:bookmarkEnd w:id="61"/>
    </w:p>
    <w:p w14:paraId="2C757EB6" w14:textId="77777777" w:rsidR="00FA2D3E" w:rsidRPr="004B39D3" w:rsidRDefault="00FA2D3E" w:rsidP="00C604F0">
      <w:pPr>
        <w:pStyle w:val="MRheading2"/>
        <w:spacing w:before="60" w:after="160" w:line="276" w:lineRule="auto"/>
      </w:pPr>
      <w:bookmarkStart w:id="63"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3"/>
    </w:p>
    <w:p w14:paraId="328AE68F" w14:textId="77777777" w:rsidR="00FA2D3E" w:rsidRPr="004B39D3" w:rsidRDefault="00FA2D3E" w:rsidP="0049171F">
      <w:pPr>
        <w:pStyle w:val="MRheading2"/>
        <w:spacing w:before="60" w:after="160" w:line="276" w:lineRule="auto"/>
      </w:pPr>
      <w:bookmarkStart w:id="64"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w:t>
      </w:r>
      <w:r w:rsidRPr="004B39D3">
        <w:lastRenderedPageBreak/>
        <w:t>trade or procurement controls or otherwise representing a heightened risk of involvement in illegal activity (together, the “</w:t>
      </w:r>
      <w:r w:rsidRPr="004B39D3">
        <w:rPr>
          <w:b/>
        </w:rPr>
        <w:t>Prohibited Entities</w:t>
      </w:r>
      <w:r w:rsidRPr="004B39D3">
        <w:t>”).</w:t>
      </w:r>
      <w:bookmarkEnd w:id="64"/>
    </w:p>
    <w:p w14:paraId="15BBB8A5" w14:textId="77777777" w:rsidR="00FA2D3E" w:rsidRPr="004B39D3" w:rsidRDefault="00FA2D3E" w:rsidP="0049171F">
      <w:pPr>
        <w:pStyle w:val="MRheading2"/>
        <w:spacing w:before="60" w:after="160" w:line="276" w:lineRule="auto"/>
      </w:pPr>
      <w:bookmarkStart w:id="65" w:name="_Ref62835036"/>
      <w:r>
        <w:t>The Supplier</w:t>
      </w:r>
      <w:r w:rsidRPr="004B39D3">
        <w:t xml:space="preserve"> warrant</w:t>
      </w:r>
      <w:r>
        <w:t>s</w:t>
      </w:r>
      <w:r w:rsidRPr="004B39D3">
        <w:t>:</w:t>
      </w:r>
      <w:bookmarkEnd w:id="65"/>
    </w:p>
    <w:p w14:paraId="5DA74A5C" w14:textId="77777777" w:rsidR="00FA2D3E" w:rsidRPr="004B39D3" w:rsidRDefault="00FA2D3E" w:rsidP="0049171F">
      <w:pPr>
        <w:pStyle w:val="MRheading3"/>
        <w:spacing w:before="60" w:after="160" w:line="276" w:lineRule="auto"/>
      </w:pPr>
      <w:r>
        <w:t>that it</w:t>
      </w:r>
      <w:r w:rsidRPr="004B39D3">
        <w:t>, and any Relevant Person, will not make payment to, transfer property to, or otherwise have dealings with, any Prohibited Entity;</w:t>
      </w:r>
    </w:p>
    <w:p w14:paraId="75DCA301" w14:textId="77777777" w:rsidR="00FA2D3E" w:rsidRPr="004B39D3" w:rsidRDefault="00FA2D3E" w:rsidP="0049171F">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2C6659AC" w14:textId="77777777" w:rsidR="00FA2D3E" w:rsidRPr="004B39D3" w:rsidRDefault="00FA2D3E" w:rsidP="0049171F">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6D8ADC25" w14:textId="77777777" w:rsidR="00FA2D3E" w:rsidRPr="004B39D3" w:rsidRDefault="00FA2D3E" w:rsidP="0049171F">
      <w:pPr>
        <w:pStyle w:val="MRheading4"/>
        <w:spacing w:before="60" w:after="160" w:line="276" w:lineRule="auto"/>
      </w:pPr>
      <w:r w:rsidRPr="004B39D3">
        <w:t>a UK tax evasion facilita</w:t>
      </w:r>
      <w:r w:rsidR="00DF480F">
        <w:t>tion offence under section 45</w:t>
      </w:r>
      <w:r w:rsidRPr="004B39D3">
        <w:t xml:space="preserve"> of the Criminal Finances Act 2017; or</w:t>
      </w:r>
    </w:p>
    <w:p w14:paraId="032C6E48" w14:textId="77777777" w:rsidR="00FA2D3E" w:rsidRPr="004B39D3" w:rsidRDefault="00FA2D3E" w:rsidP="0049171F">
      <w:pPr>
        <w:pStyle w:val="MRheading4"/>
        <w:spacing w:before="60" w:after="160" w:line="276" w:lineRule="auto"/>
      </w:pPr>
      <w:r w:rsidRPr="004B39D3">
        <w:t>a foreign tax evasion facilita</w:t>
      </w:r>
      <w:r w:rsidR="00DF480F">
        <w:t>tion offence under section 46</w:t>
      </w:r>
      <w:r w:rsidRPr="004B39D3">
        <w:t xml:space="preserve"> of the Criminal Finances Act 2017; and</w:t>
      </w:r>
    </w:p>
    <w:p w14:paraId="5A8F76ED" w14:textId="77777777" w:rsidR="00FA2D3E" w:rsidRPr="004B39D3" w:rsidRDefault="00FA2D3E" w:rsidP="0049171F">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4CD259D6" w14:textId="77777777" w:rsidR="00FA2D3E" w:rsidRPr="004B39D3" w:rsidRDefault="00FA2D3E" w:rsidP="0049171F">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4F1957">
        <w:fldChar w:fldCharType="separate"/>
      </w:r>
      <w:r w:rsidR="002C33C4">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3CCD3B43" w14:textId="77777777" w:rsidR="00FA2D3E" w:rsidRPr="004B39D3" w:rsidRDefault="00FA2D3E" w:rsidP="0049171F">
      <w:pPr>
        <w:pStyle w:val="MRheading2"/>
        <w:spacing w:before="60" w:after="160" w:line="276" w:lineRule="auto"/>
      </w:pPr>
      <w:bookmarkStart w:id="66"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4F1957">
        <w:fldChar w:fldCharType="separate"/>
      </w:r>
      <w:r w:rsidR="002C33C4">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4F1957">
        <w:fldChar w:fldCharType="separate"/>
      </w:r>
      <w:r w:rsidR="002C33C4">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4F1957">
        <w:fldChar w:fldCharType="separate"/>
      </w:r>
      <w:r w:rsidR="002C33C4">
        <w:t>11.5</w:t>
      </w:r>
      <w:r w:rsidR="004F1957">
        <w:fldChar w:fldCharType="end"/>
      </w:r>
      <w:r w:rsidR="004F1957">
        <w:t xml:space="preserve"> </w:t>
      </w:r>
      <w:r w:rsidRPr="004B39D3">
        <w:t>below.</w:t>
      </w:r>
      <w:bookmarkEnd w:id="66"/>
    </w:p>
    <w:p w14:paraId="28674EFC" w14:textId="77777777" w:rsidR="00FA2D3E" w:rsidRPr="004B39D3" w:rsidRDefault="00FA2D3E" w:rsidP="0049171F">
      <w:pPr>
        <w:pStyle w:val="MRheading2"/>
        <w:spacing w:before="60" w:after="160" w:line="276" w:lineRule="auto"/>
      </w:pPr>
      <w:bookmarkStart w:id="67" w:name="_Ref62835079"/>
      <w:r w:rsidRPr="004B39D3">
        <w:t xml:space="preserve">In the circumstances described at clause </w:t>
      </w:r>
      <w:r w:rsidR="004F1957">
        <w:fldChar w:fldCharType="begin"/>
      </w:r>
      <w:r w:rsidR="004F1957">
        <w:instrText xml:space="preserve"> REF _Ref62835036 \r \h </w:instrText>
      </w:r>
      <w:r w:rsidR="004F1957">
        <w:fldChar w:fldCharType="separate"/>
      </w:r>
      <w:r w:rsidR="002C33C4">
        <w:t>11.3</w:t>
      </w:r>
      <w:r w:rsidR="004F1957">
        <w:fldChar w:fldCharType="end"/>
      </w:r>
      <w:r w:rsidRPr="004B39D3">
        <w:t>, and without prejudice to any other rights or remedies which the British Council may have, the British Council may:</w:t>
      </w:r>
      <w:bookmarkEnd w:id="67"/>
    </w:p>
    <w:p w14:paraId="1E4DE4A1" w14:textId="77777777" w:rsidR="00FA2D3E" w:rsidRPr="004B39D3" w:rsidRDefault="00FA2D3E" w:rsidP="0049171F">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2D48A81E" w14:textId="77777777" w:rsidR="00FA2D3E" w:rsidRPr="004B39D3" w:rsidRDefault="00FA2D3E" w:rsidP="0049171F">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57664024" w14:textId="77777777" w:rsidR="00FA2D3E" w:rsidRPr="004B39D3" w:rsidRDefault="00FA2D3E" w:rsidP="0049171F">
      <w:pPr>
        <w:pStyle w:val="MRheading3"/>
        <w:spacing w:before="60" w:after="160" w:line="276" w:lineRule="auto"/>
      </w:pPr>
      <w:r w:rsidRPr="004B39D3">
        <w:t>reduce, withhold or claim a repayment (in full or in part) of the charges payable under this Agreement; and/or</w:t>
      </w:r>
    </w:p>
    <w:p w14:paraId="08B79C98" w14:textId="77777777" w:rsidR="00FA2D3E" w:rsidRPr="004B39D3" w:rsidRDefault="00FA2D3E" w:rsidP="0049171F">
      <w:pPr>
        <w:pStyle w:val="MRheading3"/>
        <w:spacing w:before="60" w:after="160" w:line="276" w:lineRule="auto"/>
      </w:pPr>
      <w:r w:rsidRPr="004B39D3">
        <w:t>share such information with third parties.</w:t>
      </w:r>
    </w:p>
    <w:p w14:paraId="06FF1BD5" w14:textId="77777777" w:rsidR="00FA2D3E" w:rsidRPr="004B39D3" w:rsidRDefault="00FA2D3E" w:rsidP="0049171F">
      <w:pPr>
        <w:pStyle w:val="MRheading2"/>
        <w:spacing w:before="60" w:after="160" w:line="276" w:lineRule="auto"/>
      </w:pPr>
      <w:bookmarkStart w:id="68" w:name="_Ref62835184"/>
      <w:r>
        <w:lastRenderedPageBreak/>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4F1957">
        <w:fldChar w:fldCharType="separate"/>
      </w:r>
      <w:r w:rsidR="002C33C4">
        <w:t>11.2</w:t>
      </w:r>
      <w:r w:rsidR="004F1957">
        <w:fldChar w:fldCharType="end"/>
      </w:r>
      <w:r w:rsidRPr="004B39D3">
        <w:t>.</w:t>
      </w:r>
      <w:bookmarkEnd w:id="68"/>
    </w:p>
    <w:p w14:paraId="03DB7F18" w14:textId="77777777" w:rsidR="00FA2D3E" w:rsidRPr="004B39D3" w:rsidRDefault="00FA2D3E" w:rsidP="0049171F">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4F1957">
        <w:fldChar w:fldCharType="separate"/>
      </w:r>
      <w:r w:rsidR="002C33C4">
        <w:t>11.1</w:t>
      </w:r>
      <w:r w:rsidR="004F1957">
        <w:fldChar w:fldCharType="end"/>
      </w:r>
      <w:r>
        <w:t xml:space="preserve">, </w:t>
      </w:r>
      <w:r w:rsidR="004F1957">
        <w:fldChar w:fldCharType="begin"/>
      </w:r>
      <w:r w:rsidR="004F1957">
        <w:instrText xml:space="preserve"> REF _Ref62835048 \r \h </w:instrText>
      </w:r>
      <w:r w:rsidR="004F1957">
        <w:fldChar w:fldCharType="separate"/>
      </w:r>
      <w:r w:rsidR="002C33C4">
        <w:t>11.2</w:t>
      </w:r>
      <w:r w:rsidR="004F1957">
        <w:fldChar w:fldCharType="end"/>
      </w:r>
      <w:r>
        <w:t xml:space="preserve">, </w:t>
      </w:r>
      <w:r w:rsidR="004F1957">
        <w:fldChar w:fldCharType="begin"/>
      </w:r>
      <w:r w:rsidR="004F1957">
        <w:instrText xml:space="preserve"> REF _Ref62835036 \r \h </w:instrText>
      </w:r>
      <w:r w:rsidR="004F1957">
        <w:fldChar w:fldCharType="separate"/>
      </w:r>
      <w:r w:rsidR="002C33C4">
        <w:t>11.3</w:t>
      </w:r>
      <w:r w:rsidR="004F1957">
        <w:fldChar w:fldCharType="end"/>
      </w:r>
      <w:r>
        <w:t xml:space="preserve">, </w:t>
      </w:r>
      <w:r w:rsidR="004F1957">
        <w:fldChar w:fldCharType="begin"/>
      </w:r>
      <w:r w:rsidR="004F1957">
        <w:instrText xml:space="preserve"> REF _Ref62835154 \r \h </w:instrText>
      </w:r>
      <w:r w:rsidR="004F1957">
        <w:fldChar w:fldCharType="separate"/>
      </w:r>
      <w:r w:rsidR="002C33C4">
        <w:t>11.4</w:t>
      </w:r>
      <w:r w:rsidR="004F1957">
        <w:fldChar w:fldCharType="end"/>
      </w:r>
      <w:r w:rsidRPr="004B39D3">
        <w:t>,</w:t>
      </w:r>
      <w:r>
        <w:t xml:space="preserve"> </w:t>
      </w:r>
      <w:r w:rsidR="004F1957">
        <w:fldChar w:fldCharType="begin"/>
      </w:r>
      <w:r w:rsidR="004F1957">
        <w:instrText xml:space="preserve"> REF _Ref62835079 \r \h </w:instrText>
      </w:r>
      <w:r w:rsidR="004F1957">
        <w:fldChar w:fldCharType="separate"/>
      </w:r>
      <w:r w:rsidR="002C33C4">
        <w:t>11.5</w:t>
      </w:r>
      <w:r w:rsidR="004F1957">
        <w:fldChar w:fldCharType="end"/>
      </w:r>
      <w:r w:rsidR="004F1957">
        <w:t xml:space="preserve"> </w:t>
      </w:r>
      <w:r>
        <w:t xml:space="preserve">and </w:t>
      </w:r>
      <w:r w:rsidR="004F1957">
        <w:fldChar w:fldCharType="begin"/>
      </w:r>
      <w:r w:rsidR="004F1957">
        <w:instrText xml:space="preserve"> REF _Ref62835184 \r \h </w:instrText>
      </w:r>
      <w:r w:rsidR="004F1957">
        <w:fldChar w:fldCharType="separate"/>
      </w:r>
      <w:r w:rsidR="002C33C4">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16A75E7D" w14:textId="77777777" w:rsidR="00FA2D3E" w:rsidRPr="00A0206C" w:rsidRDefault="00FA2D3E" w:rsidP="007F520C">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722EC8">
        <w:fldChar w:fldCharType="separate"/>
      </w:r>
      <w:r w:rsidR="002C33C4">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2DE09FAD" w14:textId="77777777" w:rsidR="00887A6C" w:rsidRPr="008820DC" w:rsidRDefault="00887A6C" w:rsidP="007F520C">
      <w:pPr>
        <w:pStyle w:val="MRheading1"/>
        <w:spacing w:before="60" w:after="160" w:line="276" w:lineRule="auto"/>
        <w:rPr>
          <w:rFonts w:cs="Arial"/>
          <w:szCs w:val="22"/>
        </w:rPr>
      </w:pPr>
      <w:bookmarkStart w:id="69" w:name="_Ref205953963"/>
      <w:bookmarkStart w:id="70" w:name="_Toc207776118"/>
      <w:bookmarkStart w:id="71" w:name="_Toc207776266"/>
      <w:bookmarkEnd w:id="62"/>
      <w:r w:rsidRPr="008820DC">
        <w:rPr>
          <w:rFonts w:cs="Arial"/>
          <w:szCs w:val="22"/>
        </w:rPr>
        <w:t>Safeguarding and Protecting Children and Vulnerable Adults</w:t>
      </w:r>
    </w:p>
    <w:p w14:paraId="1D5A8784" w14:textId="77777777" w:rsidR="00DF480F" w:rsidRDefault="00DF480F" w:rsidP="007F520C">
      <w:pPr>
        <w:pStyle w:val="MRheading2"/>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350D9A5C" w14:textId="77777777" w:rsidR="00DF480F" w:rsidRDefault="00DF480F" w:rsidP="007F520C">
      <w:pPr>
        <w:pStyle w:val="MRheading2"/>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65E7993B" w14:textId="77777777" w:rsidR="00887A6C" w:rsidRPr="00DF480F" w:rsidRDefault="00DF480F" w:rsidP="007F520C">
      <w:pPr>
        <w:pStyle w:val="MRheading2"/>
        <w:spacing w:before="60" w:after="160" w:line="276"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00EE5629" w14:textId="77777777" w:rsidR="00BD6DD6" w:rsidRDefault="00BD6DD6" w:rsidP="0049171F">
      <w:pPr>
        <w:pStyle w:val="MRheading1"/>
        <w:spacing w:before="60" w:after="160" w:line="276" w:lineRule="auto"/>
        <w:rPr>
          <w:rFonts w:cs="Arial"/>
          <w:szCs w:val="22"/>
        </w:rPr>
      </w:pPr>
      <w:r>
        <w:rPr>
          <w:rFonts w:cs="Arial"/>
          <w:szCs w:val="22"/>
        </w:rPr>
        <w:t>Anti-slavery and human trafficking</w:t>
      </w:r>
    </w:p>
    <w:p w14:paraId="526C21AF" w14:textId="77777777" w:rsidR="00BD6DD6" w:rsidRPr="00BD6DD6" w:rsidRDefault="00BD6DD6" w:rsidP="0049171F">
      <w:pPr>
        <w:pStyle w:val="MRheading2"/>
        <w:spacing w:before="60" w:after="160" w:line="276" w:lineRule="auto"/>
        <w:rPr>
          <w:rFonts w:cs="Arial"/>
          <w:szCs w:val="22"/>
        </w:rPr>
      </w:pPr>
      <w:bookmarkStart w:id="72" w:name="_Ref455749014"/>
      <w:r w:rsidRPr="00BD6DD6">
        <w:rPr>
          <w:rFonts w:cs="Arial"/>
          <w:szCs w:val="22"/>
        </w:rPr>
        <w:t>The Supplier shall:</w:t>
      </w:r>
      <w:bookmarkEnd w:id="72"/>
    </w:p>
    <w:p w14:paraId="195518A9" w14:textId="77777777" w:rsidR="00BD6DD6" w:rsidRPr="00BD6DD6" w:rsidRDefault="00BD6DD6" w:rsidP="0049171F">
      <w:pPr>
        <w:pStyle w:val="MRheading3"/>
        <w:spacing w:before="60" w:after="160" w:line="276" w:lineRule="auto"/>
        <w:ind w:left="1797" w:hanging="1077"/>
      </w:pPr>
      <w:r w:rsidRPr="00BD6DD6">
        <w:t xml:space="preserve">ensure that slavery and human trafficking is not taking place in any part of its business or in any part of its supply chain; </w:t>
      </w:r>
    </w:p>
    <w:p w14:paraId="709FC16A" w14:textId="77777777" w:rsidR="00BD6DD6" w:rsidRPr="00BD6DD6" w:rsidRDefault="00BD6DD6" w:rsidP="0049171F">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3BCBFE49" w14:textId="77777777" w:rsidR="00BD6DD6" w:rsidRPr="00BD6DD6" w:rsidRDefault="00BD6DD6" w:rsidP="0049171F">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1BE71D40" w14:textId="77777777" w:rsidR="00BD6DD6" w:rsidRPr="00BD6DD6" w:rsidRDefault="00BD6DD6" w:rsidP="0049171F">
      <w:pPr>
        <w:pStyle w:val="MRheading3"/>
        <w:spacing w:before="60" w:after="160" w:line="276" w:lineRule="auto"/>
        <w:ind w:left="1797" w:hanging="1077"/>
      </w:pPr>
      <w:r w:rsidRPr="00BD6DD6">
        <w:lastRenderedPageBreak/>
        <w:t>notify the British Council as soon as it becomes aware of any actual or suspected slavery or human trafficking in any part of its business or in a supply chain which has a connection with this Agreement.</w:t>
      </w:r>
    </w:p>
    <w:p w14:paraId="0C59D4DA" w14:textId="77777777" w:rsidR="00BD6DD6" w:rsidRPr="00BD6DD6" w:rsidRDefault="00BD6DD6" w:rsidP="0049171F">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2C33C4">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6D47764D" w14:textId="77777777" w:rsidR="00BD6DD6" w:rsidRPr="00BD6DD6" w:rsidRDefault="00BD6DD6" w:rsidP="0049171F">
      <w:pPr>
        <w:pStyle w:val="MRheading3"/>
        <w:spacing w:before="60" w:after="160" w:line="276" w:lineRule="auto"/>
        <w:ind w:left="1797" w:hanging="1077"/>
      </w:pPr>
      <w:r w:rsidRPr="00BD6DD6">
        <w:t>terminate this Agreement without liability to the Supplier immediately on giving notice to the Supplier; and/or</w:t>
      </w:r>
    </w:p>
    <w:p w14:paraId="69925045" w14:textId="77777777" w:rsidR="00BD6DD6" w:rsidRPr="00BD6DD6" w:rsidRDefault="00BD6DD6" w:rsidP="0049171F">
      <w:pPr>
        <w:pStyle w:val="MRheading3"/>
        <w:spacing w:before="60" w:after="160" w:line="276" w:lineRule="auto"/>
        <w:ind w:left="1797" w:hanging="1077"/>
      </w:pPr>
      <w:r w:rsidRPr="00BD6DD6">
        <w:t>reduce, withhold or claim a repayment (in full or in part) of the charges payable under this Agreement; and/or</w:t>
      </w:r>
    </w:p>
    <w:p w14:paraId="2D1E6147" w14:textId="77777777" w:rsidR="00BD6DD6" w:rsidRPr="00BD6DD6" w:rsidRDefault="00BD6DD6" w:rsidP="0049171F">
      <w:pPr>
        <w:pStyle w:val="MRheading3"/>
        <w:spacing w:before="60" w:after="160" w:line="276" w:lineRule="auto"/>
        <w:ind w:left="1797" w:hanging="1077"/>
      </w:pPr>
      <w:r w:rsidRPr="00BD6DD6">
        <w:t>share with third parties information about such non-compliance.</w:t>
      </w:r>
    </w:p>
    <w:p w14:paraId="01869E17" w14:textId="77777777" w:rsidR="00887A6C" w:rsidRPr="008820DC" w:rsidRDefault="00EB1BA7" w:rsidP="0049171F">
      <w:pPr>
        <w:pStyle w:val="MRheading1"/>
        <w:spacing w:before="60" w:after="160" w:line="276" w:lineRule="auto"/>
        <w:rPr>
          <w:rFonts w:cs="Arial"/>
          <w:szCs w:val="22"/>
        </w:rPr>
      </w:pPr>
      <w:r>
        <w:rPr>
          <w:rFonts w:cs="Arial"/>
          <w:szCs w:val="22"/>
        </w:rPr>
        <w:t>Equality, Diversity and Inclusion</w:t>
      </w:r>
    </w:p>
    <w:p w14:paraId="246B7BCC"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4A7917BA"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22901F04" w14:textId="77777777" w:rsidR="00887A6C" w:rsidRPr="008820DC" w:rsidRDefault="00887A6C" w:rsidP="0049171F">
      <w:pPr>
        <w:pStyle w:val="MRheading1"/>
        <w:spacing w:before="60" w:after="160" w:line="276" w:lineRule="auto"/>
        <w:rPr>
          <w:rFonts w:cs="Arial"/>
          <w:szCs w:val="22"/>
        </w:rPr>
      </w:pPr>
      <w:bookmarkStart w:id="73" w:name="_Ref388001181"/>
      <w:r w:rsidRPr="008820DC">
        <w:rPr>
          <w:rFonts w:cs="Arial"/>
          <w:szCs w:val="22"/>
        </w:rPr>
        <w:t>Assignment</w:t>
      </w:r>
      <w:bookmarkEnd w:id="69"/>
      <w:bookmarkEnd w:id="70"/>
      <w:bookmarkEnd w:id="71"/>
      <w:bookmarkEnd w:id="73"/>
    </w:p>
    <w:p w14:paraId="0E028F8F"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134A0FC8" w14:textId="77777777" w:rsidR="00887A6C" w:rsidRPr="008820DC" w:rsidRDefault="00887A6C" w:rsidP="0049171F">
      <w:pPr>
        <w:pStyle w:val="MRheading2"/>
        <w:spacing w:before="60" w:after="160" w:line="276" w:lineRule="auto"/>
        <w:rPr>
          <w:rFonts w:cs="Arial"/>
          <w:szCs w:val="22"/>
        </w:rPr>
      </w:pPr>
      <w:bookmarkStart w:id="74" w:name="_Ref205953866"/>
      <w:r w:rsidRPr="008820DC">
        <w:rPr>
          <w:rFonts w:cs="Arial"/>
          <w:szCs w:val="22"/>
        </w:rPr>
        <w:t>The British Council may assign or novate this Agreement to: (</w:t>
      </w:r>
      <w:proofErr w:type="spellStart"/>
      <w:r w:rsidRPr="008820DC">
        <w:rPr>
          <w:rFonts w:cs="Arial"/>
          <w:szCs w:val="22"/>
        </w:rPr>
        <w:t>i</w:t>
      </w:r>
      <w:proofErr w:type="spellEnd"/>
      <w:r w:rsidRPr="008820DC">
        <w:rPr>
          <w:rFonts w:cs="Arial"/>
          <w:szCs w:val="22"/>
        </w:rPr>
        <w:t xml:space="preserve">)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2C33C4">
        <w:rPr>
          <w:rFonts w:cs="Arial"/>
          <w:szCs w:val="22"/>
        </w:rPr>
        <w:t>15.2</w:t>
      </w:r>
      <w:r w:rsidRPr="008820DC">
        <w:rPr>
          <w:rFonts w:cs="Arial"/>
          <w:szCs w:val="22"/>
        </w:rPr>
        <w:fldChar w:fldCharType="end"/>
      </w:r>
      <w:r w:rsidRPr="008820DC">
        <w:rPr>
          <w:rFonts w:cs="Arial"/>
          <w:szCs w:val="22"/>
        </w:rPr>
        <w:t>.</w:t>
      </w:r>
      <w:bookmarkEnd w:id="74"/>
    </w:p>
    <w:p w14:paraId="1B4C334A" w14:textId="77777777" w:rsidR="00887A6C" w:rsidRPr="008820DC" w:rsidRDefault="00887A6C" w:rsidP="0049171F">
      <w:pPr>
        <w:pStyle w:val="MRheading1"/>
        <w:spacing w:before="60" w:after="160" w:line="276" w:lineRule="auto"/>
        <w:rPr>
          <w:rFonts w:cs="Arial"/>
          <w:szCs w:val="22"/>
        </w:rPr>
      </w:pPr>
      <w:r w:rsidRPr="008820DC">
        <w:rPr>
          <w:rFonts w:cs="Arial"/>
          <w:szCs w:val="22"/>
        </w:rPr>
        <w:t>Waiver</w:t>
      </w:r>
    </w:p>
    <w:p w14:paraId="55586A3C" w14:textId="77777777" w:rsidR="00887A6C" w:rsidRPr="008820DC" w:rsidRDefault="00887A6C" w:rsidP="0049171F">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3BF05D28" w14:textId="77777777" w:rsidR="00887A6C" w:rsidRPr="008820DC" w:rsidRDefault="00887A6C" w:rsidP="0049171F">
      <w:pPr>
        <w:pStyle w:val="MRheading1"/>
        <w:spacing w:before="60" w:after="160" w:line="276" w:lineRule="auto"/>
        <w:rPr>
          <w:rFonts w:cs="Arial"/>
          <w:szCs w:val="22"/>
        </w:rPr>
      </w:pPr>
      <w:r w:rsidRPr="008820DC">
        <w:rPr>
          <w:rFonts w:cs="Arial"/>
          <w:szCs w:val="22"/>
        </w:rPr>
        <w:t>Entire agreement</w:t>
      </w:r>
    </w:p>
    <w:p w14:paraId="0F32ADD0"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w:t>
      </w:r>
      <w:r w:rsidRPr="008820DC">
        <w:rPr>
          <w:rFonts w:cs="Arial"/>
          <w:szCs w:val="22"/>
        </w:rPr>
        <w:lastRenderedPageBreak/>
        <w:t>incorporated into it.  However, nothing in this Agreement purports to exclude liability for any fraudulent statement or act.</w:t>
      </w:r>
    </w:p>
    <w:p w14:paraId="2642B5B8" w14:textId="77777777" w:rsidR="00887A6C" w:rsidRPr="008820DC" w:rsidRDefault="00887A6C" w:rsidP="0049171F">
      <w:pPr>
        <w:pStyle w:val="MRheading1"/>
        <w:spacing w:before="60" w:after="160" w:line="276" w:lineRule="auto"/>
        <w:rPr>
          <w:rFonts w:cs="Arial"/>
          <w:szCs w:val="22"/>
        </w:rPr>
      </w:pPr>
      <w:bookmarkStart w:id="75" w:name="_Ref508892761"/>
      <w:r w:rsidRPr="008820DC">
        <w:rPr>
          <w:rFonts w:cs="Arial"/>
          <w:szCs w:val="22"/>
        </w:rPr>
        <w:t>Variation</w:t>
      </w:r>
      <w:bookmarkEnd w:id="75"/>
    </w:p>
    <w:p w14:paraId="68420D50" w14:textId="77777777" w:rsidR="00887A6C" w:rsidRPr="008820DC" w:rsidRDefault="00887A6C" w:rsidP="0049171F">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49059C1D" w14:textId="77777777" w:rsidR="00887A6C" w:rsidRPr="008820DC" w:rsidRDefault="00887A6C" w:rsidP="0049171F">
      <w:pPr>
        <w:pStyle w:val="MRheading1"/>
        <w:spacing w:before="60" w:after="160" w:line="276" w:lineRule="auto"/>
        <w:rPr>
          <w:rFonts w:cs="Arial"/>
          <w:szCs w:val="22"/>
        </w:rPr>
      </w:pPr>
      <w:bookmarkStart w:id="76" w:name="a273531"/>
      <w:r w:rsidRPr="008820DC">
        <w:rPr>
          <w:rFonts w:cs="Arial"/>
          <w:szCs w:val="22"/>
        </w:rPr>
        <w:t>Severance</w:t>
      </w:r>
      <w:bookmarkEnd w:id="76"/>
    </w:p>
    <w:p w14:paraId="7742ED82" w14:textId="77777777" w:rsidR="00887A6C" w:rsidRPr="008820DC" w:rsidRDefault="00887A6C" w:rsidP="0049171F">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5D9E806C" w14:textId="77777777" w:rsidR="00887A6C" w:rsidRPr="008820DC" w:rsidRDefault="00887A6C" w:rsidP="0049171F">
      <w:pPr>
        <w:pStyle w:val="MRheading1"/>
        <w:spacing w:before="60" w:after="160" w:line="276" w:lineRule="auto"/>
        <w:rPr>
          <w:rFonts w:cs="Arial"/>
          <w:szCs w:val="22"/>
        </w:rPr>
      </w:pPr>
      <w:r w:rsidRPr="008820DC">
        <w:rPr>
          <w:rFonts w:cs="Arial"/>
          <w:szCs w:val="22"/>
        </w:rPr>
        <w:t>Counterparts</w:t>
      </w:r>
    </w:p>
    <w:p w14:paraId="24B1942A"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8DDC6F" w14:textId="77777777" w:rsidR="00887A6C" w:rsidRPr="008820DC" w:rsidRDefault="00887A6C" w:rsidP="0049171F">
      <w:pPr>
        <w:pStyle w:val="MRheading1"/>
        <w:spacing w:before="60" w:after="160" w:line="276" w:lineRule="auto"/>
        <w:rPr>
          <w:rFonts w:cs="Arial"/>
          <w:szCs w:val="22"/>
        </w:rPr>
      </w:pPr>
      <w:bookmarkStart w:id="77" w:name="_Toc207776121"/>
      <w:bookmarkStart w:id="78" w:name="_Toc207776269"/>
      <w:r w:rsidRPr="008820DC">
        <w:rPr>
          <w:rFonts w:cs="Arial"/>
          <w:szCs w:val="22"/>
        </w:rPr>
        <w:t>Third party rights</w:t>
      </w:r>
      <w:bookmarkEnd w:id="77"/>
      <w:bookmarkEnd w:id="78"/>
    </w:p>
    <w:p w14:paraId="1C4E6B9D"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2C33C4">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2C33C4">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07831EFC" w14:textId="77777777" w:rsidR="00887A6C" w:rsidRPr="008820DC" w:rsidRDefault="00887A6C" w:rsidP="0049171F">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4C485ED2" w14:textId="77777777" w:rsidR="00887A6C" w:rsidRPr="008820DC" w:rsidRDefault="00887A6C" w:rsidP="0049171F">
      <w:pPr>
        <w:pStyle w:val="MRheading1"/>
        <w:spacing w:before="60" w:after="160" w:line="276" w:lineRule="auto"/>
        <w:rPr>
          <w:rFonts w:cs="Arial"/>
          <w:szCs w:val="22"/>
        </w:rPr>
      </w:pPr>
      <w:r w:rsidRPr="008820DC">
        <w:rPr>
          <w:rFonts w:cs="Arial"/>
          <w:szCs w:val="22"/>
        </w:rPr>
        <w:t>No partnership or agency</w:t>
      </w:r>
    </w:p>
    <w:p w14:paraId="0F6A7DC0" w14:textId="77777777"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366F1F7" w14:textId="77777777" w:rsidR="00887A6C" w:rsidRPr="008820DC" w:rsidRDefault="00887A6C" w:rsidP="0049171F">
      <w:pPr>
        <w:pStyle w:val="MRheading1"/>
        <w:spacing w:before="60" w:after="160" w:line="276" w:lineRule="auto"/>
        <w:rPr>
          <w:rFonts w:cs="Arial"/>
          <w:szCs w:val="22"/>
        </w:rPr>
      </w:pPr>
      <w:bookmarkStart w:id="79" w:name="_Ref205953761"/>
      <w:bookmarkStart w:id="80" w:name="_Toc207776117"/>
      <w:bookmarkStart w:id="81" w:name="_Toc207776265"/>
      <w:r w:rsidRPr="008820DC">
        <w:rPr>
          <w:rFonts w:cs="Arial"/>
          <w:szCs w:val="22"/>
        </w:rPr>
        <w:t>Force Majeure</w:t>
      </w:r>
      <w:bookmarkEnd w:id="79"/>
      <w:bookmarkEnd w:id="80"/>
      <w:bookmarkEnd w:id="81"/>
    </w:p>
    <w:p w14:paraId="1F5D4196" w14:textId="77777777" w:rsidR="00887A6C" w:rsidRPr="008820DC" w:rsidRDefault="00887A6C" w:rsidP="0049171F">
      <w:pPr>
        <w:pStyle w:val="MRheading2"/>
        <w:spacing w:before="60" w:after="160" w:line="276" w:lineRule="auto"/>
        <w:rPr>
          <w:rFonts w:cs="Arial"/>
          <w:szCs w:val="22"/>
        </w:rPr>
      </w:pPr>
      <w:bookmarkStart w:id="82"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2C33C4">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2C33C4">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2"/>
      <w:r w:rsidRPr="008820DC">
        <w:rPr>
          <w:rFonts w:cs="Arial"/>
          <w:szCs w:val="22"/>
        </w:rPr>
        <w:t xml:space="preserve"> </w:t>
      </w:r>
    </w:p>
    <w:p w14:paraId="57A9DB73" w14:textId="77777777" w:rsidR="00887A6C" w:rsidRPr="008820DC" w:rsidRDefault="00887A6C" w:rsidP="0049171F">
      <w:pPr>
        <w:pStyle w:val="MRheading2"/>
        <w:spacing w:before="60" w:after="160" w:line="276" w:lineRule="auto"/>
        <w:rPr>
          <w:rFonts w:cs="Arial"/>
          <w:szCs w:val="22"/>
        </w:rPr>
      </w:pPr>
      <w:bookmarkStart w:id="83" w:name="a866385"/>
      <w:r w:rsidRPr="008820DC">
        <w:rPr>
          <w:rFonts w:cs="Arial"/>
          <w:szCs w:val="22"/>
        </w:rPr>
        <w:t>A party that is subject to a Force Majeure Event shall not be in breach of this Agreement provided that:</w:t>
      </w:r>
      <w:bookmarkEnd w:id="83"/>
    </w:p>
    <w:p w14:paraId="2A54C151"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 xml:space="preserve">it promptly notifies the other party in writing of the nature and extent of the Force Majeure Event causing its failure or delay in performance; </w:t>
      </w:r>
    </w:p>
    <w:p w14:paraId="1089018B" w14:textId="77777777" w:rsidR="00887A6C" w:rsidRPr="008820DC" w:rsidRDefault="00887A6C" w:rsidP="0049171F">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730CDF0D" w14:textId="77777777" w:rsidR="00887A6C" w:rsidRPr="008820DC" w:rsidRDefault="00887A6C" w:rsidP="0049171F">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FD5E058" w14:textId="77777777" w:rsidR="00887A6C" w:rsidRPr="008820DC" w:rsidRDefault="00887A6C" w:rsidP="0049171F">
      <w:pPr>
        <w:pStyle w:val="MRheading2"/>
        <w:spacing w:before="60" w:after="160" w:line="276" w:lineRule="auto"/>
        <w:rPr>
          <w:rFonts w:cs="Arial"/>
          <w:szCs w:val="22"/>
        </w:rPr>
      </w:pPr>
      <w:bookmarkStart w:id="84"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2C33C4">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4"/>
    </w:p>
    <w:p w14:paraId="5B0C7C17" w14:textId="77777777" w:rsidR="00887A6C" w:rsidRPr="008820DC" w:rsidRDefault="00887A6C" w:rsidP="0049171F">
      <w:pPr>
        <w:pStyle w:val="MRheading1"/>
        <w:spacing w:before="60" w:after="160" w:line="276" w:lineRule="auto"/>
        <w:rPr>
          <w:rFonts w:cs="Arial"/>
          <w:szCs w:val="22"/>
        </w:rPr>
      </w:pPr>
      <w:bookmarkStart w:id="85" w:name="_Ref63779390"/>
      <w:r w:rsidRPr="008820DC">
        <w:rPr>
          <w:rFonts w:cs="Arial"/>
          <w:szCs w:val="22"/>
        </w:rPr>
        <w:t>Notice</w:t>
      </w:r>
      <w:bookmarkEnd w:id="85"/>
    </w:p>
    <w:p w14:paraId="09015C52" w14:textId="77777777" w:rsidR="00887A6C" w:rsidRPr="008820DC" w:rsidRDefault="00887A6C" w:rsidP="0049171F">
      <w:pPr>
        <w:pStyle w:val="MRheading2"/>
        <w:spacing w:before="60" w:after="160" w:line="276" w:lineRule="auto"/>
        <w:rPr>
          <w:rFonts w:cs="Arial"/>
          <w:szCs w:val="22"/>
        </w:rPr>
      </w:pPr>
      <w:bookmarkStart w:id="86"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143F60BA" w14:textId="77777777" w:rsidR="00887A6C" w:rsidRPr="008820DC" w:rsidRDefault="00887A6C" w:rsidP="0049171F">
      <w:pPr>
        <w:pStyle w:val="MRheading3"/>
        <w:spacing w:before="60" w:after="160" w:line="276" w:lineRule="auto"/>
        <w:rPr>
          <w:rFonts w:cs="Arial"/>
          <w:szCs w:val="22"/>
        </w:rPr>
      </w:pPr>
      <w:bookmarkStart w:id="87" w:name="_Ref62841300"/>
      <w:r w:rsidRPr="008820DC">
        <w:rPr>
          <w:rFonts w:cs="Arial"/>
          <w:szCs w:val="22"/>
        </w:rPr>
        <w:t>personally, in which case the notice will be deemed to have been received at the time of delivery;</w:t>
      </w:r>
      <w:bookmarkEnd w:id="87"/>
    </w:p>
    <w:p w14:paraId="5E6E761E"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4EB63FBA" w14:textId="77777777" w:rsidR="004331EB" w:rsidRPr="00E30C22" w:rsidRDefault="00887A6C" w:rsidP="0049171F">
      <w:pPr>
        <w:pStyle w:val="MRheading3"/>
        <w:spacing w:before="60" w:after="160" w:line="276" w:lineRule="auto"/>
        <w:rPr>
          <w:rFonts w:cs="Arial"/>
          <w:szCs w:val="22"/>
        </w:rPr>
      </w:pPr>
      <w:bookmarkStart w:id="88"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88"/>
    </w:p>
    <w:p w14:paraId="40B7B2D0" w14:textId="77777777" w:rsidR="00887A6C" w:rsidRPr="00E30C22" w:rsidRDefault="004331EB" w:rsidP="0049171F">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39160E">
        <w:fldChar w:fldCharType="separate"/>
      </w:r>
      <w:r w:rsidR="002C33C4">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253B325" w14:textId="77777777" w:rsidR="00887A6C" w:rsidRPr="008820DC" w:rsidRDefault="00887A6C" w:rsidP="0049171F">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474C35">
        <w:rPr>
          <w:rFonts w:cs="Arial"/>
          <w:szCs w:val="22"/>
        </w:rPr>
      </w:r>
      <w:r w:rsidR="00474C35">
        <w:rPr>
          <w:rFonts w:cs="Arial"/>
          <w:szCs w:val="22"/>
        </w:rPr>
        <w:fldChar w:fldCharType="separate"/>
      </w:r>
      <w:r w:rsidR="002C33C4">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474C35">
        <w:rPr>
          <w:rFonts w:cs="Arial"/>
          <w:szCs w:val="22"/>
        </w:rPr>
      </w:r>
      <w:r w:rsidR="00474C35">
        <w:rPr>
          <w:rFonts w:cs="Arial"/>
          <w:szCs w:val="22"/>
        </w:rPr>
        <w:fldChar w:fldCharType="separate"/>
      </w:r>
      <w:r w:rsidR="002C33C4">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89" w:name="_Toc207776237"/>
      <w:bookmarkStart w:id="90" w:name="Schedule3"/>
      <w:bookmarkEnd w:id="86"/>
      <w:bookmarkEnd w:id="89"/>
      <w:bookmarkEnd w:id="90"/>
    </w:p>
    <w:p w14:paraId="400C8DA0" w14:textId="77777777" w:rsidR="00887A6C" w:rsidRPr="008820DC" w:rsidRDefault="00887A6C" w:rsidP="0049171F">
      <w:pPr>
        <w:pStyle w:val="MRheading1"/>
        <w:spacing w:before="60" w:after="160" w:line="276" w:lineRule="auto"/>
        <w:rPr>
          <w:rFonts w:cs="Arial"/>
          <w:szCs w:val="22"/>
        </w:rPr>
      </w:pPr>
      <w:bookmarkStart w:id="91" w:name="_Ref205954210"/>
      <w:bookmarkStart w:id="92" w:name="_Toc207776123"/>
      <w:bookmarkStart w:id="93" w:name="_Toc207776271"/>
      <w:r w:rsidRPr="008820DC">
        <w:rPr>
          <w:rFonts w:cs="Arial"/>
          <w:szCs w:val="22"/>
        </w:rPr>
        <w:lastRenderedPageBreak/>
        <w:t>Governing Law and Dispute Resolution Procedure</w:t>
      </w:r>
      <w:bookmarkEnd w:id="91"/>
      <w:bookmarkEnd w:id="92"/>
      <w:bookmarkEnd w:id="93"/>
    </w:p>
    <w:p w14:paraId="3CA1FE47" w14:textId="77777777" w:rsidR="00887A6C" w:rsidRPr="008820DC" w:rsidRDefault="00887A6C" w:rsidP="0049171F">
      <w:pPr>
        <w:pStyle w:val="MRheading2"/>
        <w:spacing w:before="60" w:after="160" w:line="276" w:lineRule="auto"/>
        <w:rPr>
          <w:rFonts w:cs="Arial"/>
          <w:szCs w:val="22"/>
        </w:rPr>
      </w:pPr>
      <w:bookmarkStart w:id="94"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DA4CAC0" w14:textId="77777777" w:rsidR="00887A6C" w:rsidRPr="008820DC" w:rsidRDefault="00887A6C" w:rsidP="0049171F">
      <w:pPr>
        <w:pStyle w:val="MRheading2"/>
        <w:spacing w:before="60" w:after="160" w:line="276" w:lineRule="auto"/>
        <w:rPr>
          <w:rFonts w:cs="Arial"/>
          <w:szCs w:val="22"/>
        </w:rPr>
      </w:pPr>
      <w:bookmarkStart w:id="95"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2C33C4">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5"/>
    </w:p>
    <w:p w14:paraId="2603033D" w14:textId="77777777" w:rsidR="00887A6C" w:rsidRPr="008820DC" w:rsidRDefault="00887A6C" w:rsidP="0049171F">
      <w:pPr>
        <w:pStyle w:val="MRheading2"/>
        <w:spacing w:before="60" w:after="160" w:line="276" w:lineRule="auto"/>
        <w:rPr>
          <w:rFonts w:cs="Arial"/>
          <w:szCs w:val="22"/>
        </w:rPr>
      </w:pPr>
      <w:bookmarkStart w:id="96" w:name="_Ref290998444"/>
      <w:bookmarkStart w:id="97" w:name="_Ref293665941"/>
      <w:bookmarkStart w:id="98"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6"/>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2C33C4">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2C33C4">
        <w:rPr>
          <w:rFonts w:cs="Arial"/>
          <w:szCs w:val="22"/>
        </w:rPr>
        <w:t>25.2</w:t>
      </w:r>
      <w:r w:rsidRPr="008820DC">
        <w:rPr>
          <w:rFonts w:cs="Arial"/>
          <w:szCs w:val="22"/>
        </w:rPr>
        <w:fldChar w:fldCharType="end"/>
      </w:r>
      <w:r w:rsidRPr="008820DC">
        <w:rPr>
          <w:rFonts w:cs="Arial"/>
          <w:szCs w:val="22"/>
        </w:rPr>
        <w:t>.</w:t>
      </w:r>
      <w:bookmarkEnd w:id="97"/>
    </w:p>
    <w:bookmarkEnd w:id="94"/>
    <w:bookmarkEnd w:id="98"/>
    <w:p w14:paraId="5CA00CAE"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2C33C4">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8"/>
    </w:p>
    <w:p w14:paraId="03136108" w14:textId="77777777" w:rsidR="00887A6C" w:rsidRPr="008820DC" w:rsidRDefault="003F16A1" w:rsidP="0049171F">
      <w:pPr>
        <w:spacing w:before="60" w:after="160" w:line="276" w:lineRule="auto"/>
        <w:rPr>
          <w:rFonts w:cs="Arial"/>
          <w:szCs w:val="22"/>
        </w:rPr>
      </w:pPr>
      <w:r>
        <w:rPr>
          <w:rFonts w:cs="Arial"/>
          <w:szCs w:val="22"/>
        </w:rPr>
        <w:br w:type="page"/>
      </w:r>
    </w:p>
    <w:p w14:paraId="17BAD80D" w14:textId="6C91319D" w:rsidR="004B6445" w:rsidRPr="004B6445" w:rsidRDefault="004B6445" w:rsidP="00EF2090">
      <w:pPr>
        <w:pStyle w:val="MRSchedule1"/>
        <w:numPr>
          <w:ilvl w:val="0"/>
          <w:numId w:val="0"/>
        </w:numPr>
        <w:spacing w:after="240"/>
      </w:pPr>
      <w:bookmarkStart w:id="99" w:name="_Ref511307201"/>
      <w:r w:rsidRPr="007E3376">
        <w:lastRenderedPageBreak/>
        <w:t xml:space="preserve">Schedule </w:t>
      </w:r>
      <w:r>
        <w:t>5</w:t>
      </w:r>
    </w:p>
    <w:bookmarkEnd w:id="99"/>
    <w:p w14:paraId="169EDE19" w14:textId="77777777" w:rsidR="003F16A1" w:rsidRPr="003F16A1" w:rsidRDefault="003F16A1" w:rsidP="0049171F">
      <w:pPr>
        <w:spacing w:before="60" w:after="160" w:line="276" w:lineRule="auto"/>
        <w:jc w:val="center"/>
        <w:rPr>
          <w:u w:val="single"/>
        </w:rPr>
      </w:pPr>
      <w:r w:rsidRPr="003F16A1">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14:paraId="11F6C08A" w14:textId="77777777" w:rsidTr="003F16A1">
        <w:tc>
          <w:tcPr>
            <w:tcW w:w="2153" w:type="pct"/>
            <w:shd w:val="clear" w:color="auto" w:fill="auto"/>
          </w:tcPr>
          <w:p w14:paraId="67BB28BD"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Description</w:t>
            </w:r>
          </w:p>
        </w:tc>
        <w:tc>
          <w:tcPr>
            <w:tcW w:w="2847" w:type="pct"/>
            <w:shd w:val="clear" w:color="auto" w:fill="auto"/>
          </w:tcPr>
          <w:p w14:paraId="1216DBB1" w14:textId="77777777" w:rsidR="003F16A1" w:rsidRPr="00DC270D" w:rsidRDefault="003F16A1" w:rsidP="0049171F">
            <w:pPr>
              <w:spacing w:before="60" w:after="160" w:line="276" w:lineRule="auto"/>
              <w:rPr>
                <w:rFonts w:cs="Arial"/>
                <w:b/>
                <w:color w:val="000000"/>
                <w:szCs w:val="22"/>
              </w:rPr>
            </w:pPr>
            <w:r w:rsidRPr="00DC270D">
              <w:rPr>
                <w:rFonts w:cs="Arial"/>
                <w:b/>
                <w:color w:val="000000"/>
                <w:szCs w:val="22"/>
              </w:rPr>
              <w:t>Details</w:t>
            </w:r>
          </w:p>
        </w:tc>
      </w:tr>
      <w:tr w:rsidR="003F16A1" w:rsidRPr="00DC270D" w14:paraId="6215292E" w14:textId="77777777" w:rsidTr="003F16A1">
        <w:tc>
          <w:tcPr>
            <w:tcW w:w="2153" w:type="pct"/>
            <w:shd w:val="clear" w:color="auto" w:fill="auto"/>
          </w:tcPr>
          <w:p w14:paraId="42451A31"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14:paraId="700A9C25" w14:textId="65092ED2" w:rsidR="003F16A1" w:rsidRPr="0011291D" w:rsidRDefault="0011291D" w:rsidP="0049171F">
            <w:pPr>
              <w:autoSpaceDE w:val="0"/>
              <w:autoSpaceDN w:val="0"/>
              <w:adjustRightInd w:val="0"/>
              <w:spacing w:before="60" w:after="160" w:line="276" w:lineRule="auto"/>
              <w:jc w:val="left"/>
              <w:rPr>
                <w:rFonts w:cs="Arial"/>
                <w:color w:val="000000"/>
                <w:szCs w:val="22"/>
              </w:rPr>
            </w:pPr>
            <w:r>
              <w:rPr>
                <w:rFonts w:cs="Arial"/>
                <w:color w:val="000000"/>
                <w:szCs w:val="22"/>
              </w:rPr>
              <w:t xml:space="preserve">11 October 2021 – </w:t>
            </w:r>
            <w:r w:rsidR="000751F1">
              <w:rPr>
                <w:rFonts w:cs="Arial"/>
                <w:color w:val="000000"/>
                <w:szCs w:val="22"/>
              </w:rPr>
              <w:t>30</w:t>
            </w:r>
            <w:r>
              <w:rPr>
                <w:rFonts w:cs="Arial"/>
                <w:color w:val="000000"/>
                <w:szCs w:val="22"/>
              </w:rPr>
              <w:t xml:space="preserve"> </w:t>
            </w:r>
            <w:r w:rsidR="000751F1">
              <w:rPr>
                <w:rFonts w:cs="Arial"/>
                <w:color w:val="000000"/>
                <w:szCs w:val="22"/>
              </w:rPr>
              <w:t>June</w:t>
            </w:r>
            <w:r>
              <w:rPr>
                <w:rFonts w:cs="Arial"/>
                <w:color w:val="000000"/>
                <w:szCs w:val="22"/>
              </w:rPr>
              <w:t xml:space="preserve"> 2022</w:t>
            </w:r>
          </w:p>
        </w:tc>
      </w:tr>
      <w:tr w:rsidR="003F16A1" w:rsidRPr="00DC270D" w14:paraId="4D139678" w14:textId="77777777" w:rsidTr="003F16A1">
        <w:tc>
          <w:tcPr>
            <w:tcW w:w="2153" w:type="pct"/>
            <w:shd w:val="clear" w:color="auto" w:fill="auto"/>
          </w:tcPr>
          <w:p w14:paraId="60D9BFB9" w14:textId="75D90EAC"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14:paraId="1C9CF945" w14:textId="38DE071F" w:rsidR="003F16A1" w:rsidRPr="00EF2090" w:rsidRDefault="00EF2090" w:rsidP="0049171F">
            <w:pPr>
              <w:autoSpaceDE w:val="0"/>
              <w:autoSpaceDN w:val="0"/>
              <w:adjustRightInd w:val="0"/>
              <w:spacing w:before="60" w:after="160" w:line="276" w:lineRule="auto"/>
              <w:jc w:val="left"/>
              <w:rPr>
                <w:rFonts w:cs="Arial"/>
                <w:szCs w:val="22"/>
                <w:lang w:eastAsia="en-US" w:bidi="he-IL"/>
              </w:rPr>
            </w:pPr>
            <w:r>
              <w:rPr>
                <w:rFonts w:cs="Arial"/>
                <w:szCs w:val="22"/>
                <w:lang w:eastAsia="en-US" w:bidi="he-IL"/>
              </w:rPr>
              <w:t xml:space="preserve">The Supplier will have access to </w:t>
            </w:r>
            <w:r w:rsidR="00357D51">
              <w:rPr>
                <w:rFonts w:cs="Arial"/>
                <w:szCs w:val="22"/>
                <w:lang w:eastAsia="en-US" w:bidi="he-IL"/>
              </w:rPr>
              <w:t xml:space="preserve">Personal </w:t>
            </w:r>
            <w:r>
              <w:rPr>
                <w:rFonts w:cs="Arial"/>
                <w:szCs w:val="22"/>
                <w:lang w:eastAsia="en-US" w:bidi="he-IL"/>
              </w:rPr>
              <w:t xml:space="preserve">data </w:t>
            </w:r>
            <w:r w:rsidR="00357D51">
              <w:rPr>
                <w:rFonts w:cs="Arial"/>
                <w:szCs w:val="22"/>
                <w:lang w:eastAsia="en-US" w:bidi="he-IL"/>
              </w:rPr>
              <w:t xml:space="preserve">of subjects in connection to the Project for communicating, designing, and developing content and materials, managing related events. </w:t>
            </w:r>
          </w:p>
        </w:tc>
      </w:tr>
      <w:tr w:rsidR="003F16A1" w:rsidRPr="00DC270D" w14:paraId="27FC2F5D" w14:textId="77777777" w:rsidTr="003F16A1">
        <w:tc>
          <w:tcPr>
            <w:tcW w:w="2153" w:type="pct"/>
            <w:shd w:val="clear" w:color="auto" w:fill="auto"/>
          </w:tcPr>
          <w:p w14:paraId="03806199"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14:paraId="6F2CE28D" w14:textId="7D89A6BA" w:rsidR="003F16A1" w:rsidRPr="0011291D" w:rsidRDefault="0011291D" w:rsidP="0049171F">
            <w:pPr>
              <w:autoSpaceDE w:val="0"/>
              <w:autoSpaceDN w:val="0"/>
              <w:adjustRightInd w:val="0"/>
              <w:spacing w:before="60" w:after="160" w:line="276" w:lineRule="auto"/>
              <w:jc w:val="left"/>
              <w:rPr>
                <w:rFonts w:cs="Arial"/>
                <w:szCs w:val="22"/>
                <w:lang w:eastAsia="en-US" w:bidi="he-IL"/>
              </w:rPr>
            </w:pPr>
            <w:r w:rsidRPr="009C124B">
              <w:rPr>
                <w:rFonts w:cs="Arial"/>
                <w:szCs w:val="22"/>
                <w:lang w:eastAsia="en-US" w:bidi="he-IL"/>
              </w:rPr>
              <w:t>Names,</w:t>
            </w:r>
            <w:r w:rsidR="00EF2090">
              <w:rPr>
                <w:rFonts w:cs="Arial"/>
                <w:szCs w:val="22"/>
                <w:lang w:eastAsia="en-US" w:bidi="he-IL"/>
              </w:rPr>
              <w:t xml:space="preserve"> gender,</w:t>
            </w:r>
            <w:r w:rsidRPr="009C124B">
              <w:rPr>
                <w:rFonts w:cs="Arial"/>
                <w:szCs w:val="22"/>
                <w:lang w:eastAsia="en-US" w:bidi="he-IL"/>
              </w:rPr>
              <w:t xml:space="preserve"> address, country of origin, telephone number, education profile, </w:t>
            </w:r>
            <w:r>
              <w:rPr>
                <w:rFonts w:cs="Arial"/>
                <w:szCs w:val="22"/>
                <w:lang w:eastAsia="en-US" w:bidi="he-IL"/>
              </w:rPr>
              <w:t xml:space="preserve">email, </w:t>
            </w:r>
            <w:r w:rsidRPr="009C124B">
              <w:rPr>
                <w:rFonts w:cs="Arial"/>
                <w:szCs w:val="22"/>
                <w:lang w:eastAsia="en-US" w:bidi="he-IL"/>
              </w:rPr>
              <w:t>images.</w:t>
            </w:r>
          </w:p>
        </w:tc>
      </w:tr>
      <w:tr w:rsidR="003F16A1" w:rsidRPr="00DC270D" w14:paraId="0CECEFDE" w14:textId="77777777" w:rsidTr="003F16A1">
        <w:tc>
          <w:tcPr>
            <w:tcW w:w="2153" w:type="pct"/>
            <w:shd w:val="clear" w:color="auto" w:fill="auto"/>
          </w:tcPr>
          <w:p w14:paraId="10B1CB3E"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14:paraId="0FCED5CE" w14:textId="42522BC3" w:rsidR="003F16A1" w:rsidRPr="0011291D" w:rsidRDefault="0011291D" w:rsidP="0049171F">
            <w:pPr>
              <w:autoSpaceDE w:val="0"/>
              <w:autoSpaceDN w:val="0"/>
              <w:adjustRightInd w:val="0"/>
              <w:spacing w:before="60" w:after="160" w:line="276" w:lineRule="auto"/>
              <w:jc w:val="left"/>
              <w:rPr>
                <w:rFonts w:cs="Arial"/>
                <w:szCs w:val="22"/>
                <w:lang w:eastAsia="en-US" w:bidi="he-IL"/>
              </w:rPr>
            </w:pPr>
            <w:r w:rsidRPr="009C124B">
              <w:rPr>
                <w:rFonts w:cs="Arial"/>
                <w:szCs w:val="22"/>
                <w:lang w:eastAsia="en-US" w:bidi="he-IL"/>
              </w:rPr>
              <w:t xml:space="preserve">Staff, suppliers, members of the public, </w:t>
            </w:r>
            <w:r>
              <w:rPr>
                <w:rFonts w:cs="Arial"/>
                <w:szCs w:val="22"/>
                <w:lang w:eastAsia="en-US" w:bidi="he-IL"/>
              </w:rPr>
              <w:t xml:space="preserve">workshop attendees, and event attendees. </w:t>
            </w:r>
          </w:p>
        </w:tc>
      </w:tr>
      <w:tr w:rsidR="003F16A1" w:rsidRPr="00DC270D" w14:paraId="681E12E8" w14:textId="77777777" w:rsidTr="003F16A1">
        <w:tc>
          <w:tcPr>
            <w:tcW w:w="2153" w:type="pct"/>
            <w:shd w:val="clear" w:color="auto" w:fill="auto"/>
          </w:tcPr>
          <w:p w14:paraId="78BADBAE"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338A9FB8" w14:textId="40AADF54" w:rsidR="003F16A1" w:rsidRPr="00AA31A2" w:rsidRDefault="00AA31A2" w:rsidP="0049171F">
            <w:pPr>
              <w:autoSpaceDE w:val="0"/>
              <w:autoSpaceDN w:val="0"/>
              <w:adjustRightInd w:val="0"/>
              <w:spacing w:before="60" w:after="160" w:line="276" w:lineRule="auto"/>
              <w:jc w:val="left"/>
              <w:rPr>
                <w:rFonts w:cs="Arial"/>
                <w:iCs/>
                <w:color w:val="000000"/>
                <w:szCs w:val="22"/>
              </w:rPr>
            </w:pPr>
            <w:r>
              <w:rPr>
                <w:rFonts w:cs="Arial"/>
                <w:iCs/>
                <w:color w:val="000000"/>
                <w:szCs w:val="22"/>
              </w:rPr>
              <w:t>Thailand and the UK</w:t>
            </w:r>
          </w:p>
        </w:tc>
      </w:tr>
      <w:tr w:rsidR="003F16A1" w:rsidRPr="00DC270D" w14:paraId="02C99429" w14:textId="77777777" w:rsidTr="003F16A1">
        <w:tc>
          <w:tcPr>
            <w:tcW w:w="2153" w:type="pct"/>
            <w:shd w:val="clear" w:color="auto" w:fill="auto"/>
          </w:tcPr>
          <w:p w14:paraId="64C84FE8"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14:paraId="73AE5A42" w14:textId="1502038D" w:rsidR="003F16A1" w:rsidRPr="00AA31A2" w:rsidRDefault="00AA31A2" w:rsidP="0049171F">
            <w:pPr>
              <w:autoSpaceDE w:val="0"/>
              <w:autoSpaceDN w:val="0"/>
              <w:adjustRightInd w:val="0"/>
              <w:spacing w:before="60" w:after="160" w:line="276" w:lineRule="auto"/>
              <w:jc w:val="left"/>
              <w:rPr>
                <w:rFonts w:cs="Arial"/>
                <w:color w:val="000000"/>
                <w:szCs w:val="22"/>
              </w:rPr>
            </w:pPr>
            <w:r>
              <w:rPr>
                <w:rFonts w:cs="Arial"/>
                <w:szCs w:val="22"/>
                <w:lang w:eastAsia="en-US" w:bidi="he-IL"/>
              </w:rPr>
              <w:t>N/A</w:t>
            </w:r>
          </w:p>
        </w:tc>
      </w:tr>
    </w:tbl>
    <w:p w14:paraId="0A4597E1" w14:textId="77777777" w:rsidR="003F16A1" w:rsidRPr="003F16A1" w:rsidRDefault="003F16A1" w:rsidP="0049171F">
      <w:pPr>
        <w:spacing w:before="60" w:after="160" w:line="276" w:lineRule="auto"/>
      </w:pPr>
    </w:p>
    <w:sectPr w:rsidR="003F16A1" w:rsidRPr="003F16A1">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83E74" w14:textId="77777777" w:rsidR="00D112CD" w:rsidRDefault="00D112CD">
      <w:r>
        <w:separator/>
      </w:r>
    </w:p>
  </w:endnote>
  <w:endnote w:type="continuationSeparator" w:id="0">
    <w:p w14:paraId="422CC406" w14:textId="77777777" w:rsidR="00D112CD" w:rsidRDefault="00D1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B822" w14:textId="1888FAEA" w:rsidR="00D112CD" w:rsidRPr="008820DC" w:rsidRDefault="00D112CD">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17</w:t>
    </w:r>
    <w:r w:rsidRPr="008820DC">
      <w:rPr>
        <w:noProof/>
        <w:sz w:val="16"/>
      </w:rPr>
      <w:fldChar w:fldCharType="end"/>
    </w:r>
    <w:r w:rsidR="00E7240F">
      <w:rPr>
        <w:noProof/>
        <w:sz w:val="16"/>
      </w:rPr>
      <w:t xml:space="preserve"> / 30</w:t>
    </w:r>
  </w:p>
  <w:p w14:paraId="2F8EBAFB" w14:textId="4E5EBA99" w:rsidR="00D112CD" w:rsidRPr="004B395E" w:rsidRDefault="00D112CD" w:rsidP="004B395E">
    <w:pPr>
      <w:pStyle w:val="Footer"/>
      <w:jc w:val="both"/>
      <w:rPr>
        <w:sz w:val="16"/>
        <w:szCs w:val="16"/>
      </w:rPr>
    </w:pPr>
    <w:r>
      <w:rPr>
        <w:sz w:val="16"/>
        <w:szCs w:val="16"/>
      </w:rPr>
      <w:t xml:space="preserve">Last Updated: </w:t>
    </w:r>
    <w:r w:rsidR="00E7240F">
      <w:rPr>
        <w:sz w:val="16"/>
        <w:szCs w:val="16"/>
      </w:rPr>
      <w:t>09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133D" w14:textId="0EA6E992" w:rsidR="00D112CD" w:rsidRPr="008820DC" w:rsidRDefault="00D112CD" w:rsidP="00E7240F">
    <w:pPr>
      <w:pStyle w:val="Footer"/>
      <w:ind w:left="0"/>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1</w:t>
    </w:r>
    <w:r w:rsidRPr="008820DC">
      <w:rPr>
        <w:noProof/>
        <w:sz w:val="16"/>
      </w:rPr>
      <w:fldChar w:fldCharType="end"/>
    </w:r>
    <w:r w:rsidR="00E7240F">
      <w:rPr>
        <w:noProof/>
        <w:sz w:val="16"/>
      </w:rPr>
      <w:t xml:space="preserve"> / 30</w:t>
    </w:r>
  </w:p>
  <w:p w14:paraId="4070E3A7" w14:textId="5C673496" w:rsidR="00D112CD" w:rsidRPr="004B395E" w:rsidRDefault="00D112CD" w:rsidP="004B395E">
    <w:pPr>
      <w:pStyle w:val="Footer"/>
      <w:jc w:val="both"/>
      <w:rPr>
        <w:sz w:val="16"/>
        <w:szCs w:val="16"/>
      </w:rPr>
    </w:pPr>
    <w:r>
      <w:rPr>
        <w:sz w:val="16"/>
        <w:szCs w:val="16"/>
      </w:rPr>
      <w:t xml:space="preserve">Last Updated: </w:t>
    </w:r>
    <w:r w:rsidR="00E7240F">
      <w:rPr>
        <w:sz w:val="16"/>
        <w:szCs w:val="16"/>
      </w:rPr>
      <w:t>09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EBC04" w14:textId="77777777" w:rsidR="00D112CD" w:rsidRDefault="00D112CD">
      <w:r>
        <w:separator/>
      </w:r>
    </w:p>
  </w:footnote>
  <w:footnote w:type="continuationSeparator" w:id="0">
    <w:p w14:paraId="4B694256" w14:textId="77777777" w:rsidR="00D112CD" w:rsidRDefault="00D112CD">
      <w:r>
        <w:continuationSeparator/>
      </w:r>
    </w:p>
  </w:footnote>
  <w:footnote w:id="1">
    <w:p w14:paraId="7CDB41AF" w14:textId="77777777" w:rsidR="00D112CD" w:rsidRDefault="00D112CD" w:rsidP="00DF480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D112CD" w14:paraId="1C564FDF" w14:textId="77777777">
      <w:trPr>
        <w:trHeight w:hRule="exact" w:val="1280"/>
      </w:trPr>
      <w:tc>
        <w:tcPr>
          <w:tcW w:w="3969" w:type="dxa"/>
          <w:tcBorders>
            <w:bottom w:val="single" w:sz="4" w:space="0" w:color="auto"/>
          </w:tcBorders>
        </w:tcPr>
        <w:p w14:paraId="75F0828A" w14:textId="77777777" w:rsidR="00D112CD" w:rsidRDefault="00D112CD" w:rsidP="00CF0B5D">
          <w:pPr>
            <w:pStyle w:val="Header"/>
            <w:spacing w:before="0"/>
            <w:jc w:val="left"/>
          </w:pPr>
          <w:bookmarkStart w:id="100" w:name="bclogo"/>
          <w:r>
            <w:rPr>
              <w:noProof/>
            </w:rPr>
            <w:drawing>
              <wp:inline distT="0" distB="0" distL="0" distR="0" wp14:anchorId="4EEC10F3" wp14:editId="51531F0E">
                <wp:extent cx="1446530" cy="395605"/>
                <wp:effectExtent l="0" t="0" r="0" b="0"/>
                <wp:docPr id="22" name="Picture 2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0"/>
        </w:p>
      </w:tc>
      <w:tc>
        <w:tcPr>
          <w:tcW w:w="5954" w:type="dxa"/>
          <w:tcBorders>
            <w:bottom w:val="single" w:sz="4" w:space="0" w:color="auto"/>
          </w:tcBorders>
        </w:tcPr>
        <w:p w14:paraId="26CCDD66" w14:textId="77777777" w:rsidR="00D112CD" w:rsidRDefault="00D112CD" w:rsidP="00CF0B5D">
          <w:pPr>
            <w:pStyle w:val="Header"/>
            <w:tabs>
              <w:tab w:val="clear" w:pos="4153"/>
              <w:tab w:val="clear" w:pos="8306"/>
            </w:tabs>
            <w:spacing w:before="0"/>
          </w:pPr>
          <w:r>
            <w:t>Agreement for the purchase of professional or consultancy services (short form)</w:t>
          </w:r>
        </w:p>
      </w:tc>
    </w:tr>
  </w:tbl>
  <w:p w14:paraId="3642F23B" w14:textId="77777777" w:rsidR="00D112CD" w:rsidRPr="00C604F0" w:rsidRDefault="00D112CD"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25A469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 w15:restartNumberingAfterBreak="0">
    <w:nsid w:val="0897470A"/>
    <w:multiLevelType w:val="hybridMultilevel"/>
    <w:tmpl w:val="1FAC51F4"/>
    <w:lvl w:ilvl="0" w:tplc="E600405E">
      <w:start w:val="1"/>
      <w:numFmt w:val="bullet"/>
      <w:lvlText w:val=""/>
      <w:lvlJc w:val="left"/>
      <w:pPr>
        <w:ind w:left="720" w:hanging="360"/>
      </w:pPr>
      <w:rPr>
        <w:rFonts w:ascii="Symbol" w:hAnsi="Symbol" w:hint="default"/>
      </w:rPr>
    </w:lvl>
    <w:lvl w:ilvl="1" w:tplc="E054AC62" w:tentative="1">
      <w:start w:val="1"/>
      <w:numFmt w:val="bullet"/>
      <w:lvlText w:val="o"/>
      <w:lvlJc w:val="left"/>
      <w:pPr>
        <w:ind w:left="1440" w:hanging="360"/>
      </w:pPr>
      <w:rPr>
        <w:rFonts w:ascii="Courier New" w:hAnsi="Courier New" w:cs="Courier New" w:hint="default"/>
      </w:rPr>
    </w:lvl>
    <w:lvl w:ilvl="2" w:tplc="B45479AC" w:tentative="1">
      <w:start w:val="1"/>
      <w:numFmt w:val="bullet"/>
      <w:lvlText w:val=""/>
      <w:lvlJc w:val="left"/>
      <w:pPr>
        <w:ind w:left="2160" w:hanging="360"/>
      </w:pPr>
      <w:rPr>
        <w:rFonts w:ascii="Wingdings" w:hAnsi="Wingdings" w:hint="default"/>
      </w:rPr>
    </w:lvl>
    <w:lvl w:ilvl="3" w:tplc="32404424" w:tentative="1">
      <w:start w:val="1"/>
      <w:numFmt w:val="bullet"/>
      <w:lvlText w:val=""/>
      <w:lvlJc w:val="left"/>
      <w:pPr>
        <w:ind w:left="2880" w:hanging="360"/>
      </w:pPr>
      <w:rPr>
        <w:rFonts w:ascii="Symbol" w:hAnsi="Symbol" w:hint="default"/>
      </w:rPr>
    </w:lvl>
    <w:lvl w:ilvl="4" w:tplc="7B12F31E" w:tentative="1">
      <w:start w:val="1"/>
      <w:numFmt w:val="bullet"/>
      <w:lvlText w:val="o"/>
      <w:lvlJc w:val="left"/>
      <w:pPr>
        <w:ind w:left="3600" w:hanging="360"/>
      </w:pPr>
      <w:rPr>
        <w:rFonts w:ascii="Courier New" w:hAnsi="Courier New" w:cs="Courier New" w:hint="default"/>
      </w:rPr>
    </w:lvl>
    <w:lvl w:ilvl="5" w:tplc="686C5CE0" w:tentative="1">
      <w:start w:val="1"/>
      <w:numFmt w:val="bullet"/>
      <w:lvlText w:val=""/>
      <w:lvlJc w:val="left"/>
      <w:pPr>
        <w:ind w:left="4320" w:hanging="360"/>
      </w:pPr>
      <w:rPr>
        <w:rFonts w:ascii="Wingdings" w:hAnsi="Wingdings" w:hint="default"/>
      </w:rPr>
    </w:lvl>
    <w:lvl w:ilvl="6" w:tplc="5484CA04" w:tentative="1">
      <w:start w:val="1"/>
      <w:numFmt w:val="bullet"/>
      <w:lvlText w:val=""/>
      <w:lvlJc w:val="left"/>
      <w:pPr>
        <w:ind w:left="5040" w:hanging="360"/>
      </w:pPr>
      <w:rPr>
        <w:rFonts w:ascii="Symbol" w:hAnsi="Symbol" w:hint="default"/>
      </w:rPr>
    </w:lvl>
    <w:lvl w:ilvl="7" w:tplc="889C4C60" w:tentative="1">
      <w:start w:val="1"/>
      <w:numFmt w:val="bullet"/>
      <w:lvlText w:val="o"/>
      <w:lvlJc w:val="left"/>
      <w:pPr>
        <w:ind w:left="5760" w:hanging="360"/>
      </w:pPr>
      <w:rPr>
        <w:rFonts w:ascii="Courier New" w:hAnsi="Courier New" w:cs="Courier New" w:hint="default"/>
      </w:rPr>
    </w:lvl>
    <w:lvl w:ilvl="8" w:tplc="930CD78E" w:tentative="1">
      <w:start w:val="1"/>
      <w:numFmt w:val="bullet"/>
      <w:lvlText w:val=""/>
      <w:lvlJc w:val="left"/>
      <w:pPr>
        <w:ind w:left="6480" w:hanging="360"/>
      </w:pPr>
      <w:rPr>
        <w:rFonts w:ascii="Wingdings" w:hAnsi="Wingdings" w:hint="default"/>
      </w:rPr>
    </w:lvl>
  </w:abstractNum>
  <w:abstractNum w:abstractNumId="4" w15:restartNumberingAfterBreak="0">
    <w:nsid w:val="0B847585"/>
    <w:multiLevelType w:val="hybridMultilevel"/>
    <w:tmpl w:val="5C382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CBD4677"/>
    <w:multiLevelType w:val="hybridMultilevel"/>
    <w:tmpl w:val="3220763E"/>
    <w:lvl w:ilvl="0" w:tplc="69321744">
      <w:numFmt w:val="bullet"/>
      <w:lvlText w:val=""/>
      <w:lvlJc w:val="left"/>
      <w:pPr>
        <w:ind w:left="720" w:hanging="360"/>
      </w:pPr>
      <w:rPr>
        <w:rFonts w:ascii="Symbol" w:eastAsiaTheme="minorEastAsia"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CC2C520C">
      <w:start w:val="5"/>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453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D0C2F44"/>
    <w:multiLevelType w:val="multilevel"/>
    <w:tmpl w:val="7D42F14A"/>
    <w:name w:val="M&amp;R_8"/>
    <w:numStyleLink w:val="Headings"/>
  </w:abstractNum>
  <w:abstractNum w:abstractNumId="13" w15:restartNumberingAfterBreak="0">
    <w:nsid w:val="73321D7C"/>
    <w:multiLevelType w:val="hybridMultilevel"/>
    <w:tmpl w:val="52923850"/>
    <w:lvl w:ilvl="0" w:tplc="E6F4E5E6">
      <w:start w:val="1"/>
      <w:numFmt w:val="bullet"/>
      <w:pStyle w:val="Bullets"/>
      <w:lvlText w:val=""/>
      <w:lvlJc w:val="left"/>
      <w:pPr>
        <w:ind w:left="36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267DF"/>
    <w:multiLevelType w:val="hybridMultilevel"/>
    <w:tmpl w:val="BAE0C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6"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5"/>
  </w:num>
  <w:num w:numId="3">
    <w:abstractNumId w:val="1"/>
  </w:num>
  <w:num w:numId="4">
    <w:abstractNumId w:val="5"/>
  </w:num>
  <w:num w:numId="5">
    <w:abstractNumId w:val="8"/>
  </w:num>
  <w:num w:numId="6">
    <w:abstractNumId w:val="15"/>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0"/>
  </w:num>
  <w:num w:numId="18">
    <w:abstractNumId w:val="7"/>
  </w:num>
  <w:num w:numId="19">
    <w:abstractNumId w:val="3"/>
  </w:num>
  <w:num w:numId="20">
    <w:abstractNumId w:val="1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51F1"/>
    <w:rsid w:val="00085281"/>
    <w:rsid w:val="00087241"/>
    <w:rsid w:val="00091708"/>
    <w:rsid w:val="000929F5"/>
    <w:rsid w:val="000956FC"/>
    <w:rsid w:val="000B13D2"/>
    <w:rsid w:val="000B2442"/>
    <w:rsid w:val="000C02FB"/>
    <w:rsid w:val="000C3D92"/>
    <w:rsid w:val="000E4AD0"/>
    <w:rsid w:val="001047FA"/>
    <w:rsid w:val="0011291D"/>
    <w:rsid w:val="00136580"/>
    <w:rsid w:val="0013739A"/>
    <w:rsid w:val="00137626"/>
    <w:rsid w:val="00142EDF"/>
    <w:rsid w:val="00152EFA"/>
    <w:rsid w:val="001662C3"/>
    <w:rsid w:val="0017079B"/>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2C33C4"/>
    <w:rsid w:val="00303079"/>
    <w:rsid w:val="00305943"/>
    <w:rsid w:val="00310D79"/>
    <w:rsid w:val="00311603"/>
    <w:rsid w:val="003251C2"/>
    <w:rsid w:val="0033697B"/>
    <w:rsid w:val="00340E98"/>
    <w:rsid w:val="00344E6D"/>
    <w:rsid w:val="00356C6A"/>
    <w:rsid w:val="00357D51"/>
    <w:rsid w:val="00360FED"/>
    <w:rsid w:val="0036395C"/>
    <w:rsid w:val="003642FA"/>
    <w:rsid w:val="00370D8E"/>
    <w:rsid w:val="00373050"/>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6037E"/>
    <w:rsid w:val="0046313C"/>
    <w:rsid w:val="00464C11"/>
    <w:rsid w:val="00466334"/>
    <w:rsid w:val="00474C35"/>
    <w:rsid w:val="004778D6"/>
    <w:rsid w:val="004800D9"/>
    <w:rsid w:val="00483F87"/>
    <w:rsid w:val="00484711"/>
    <w:rsid w:val="00487F03"/>
    <w:rsid w:val="0049171F"/>
    <w:rsid w:val="004A00E2"/>
    <w:rsid w:val="004A033D"/>
    <w:rsid w:val="004B395E"/>
    <w:rsid w:val="004B6445"/>
    <w:rsid w:val="004B6586"/>
    <w:rsid w:val="004C00D8"/>
    <w:rsid w:val="004C0B14"/>
    <w:rsid w:val="004C2428"/>
    <w:rsid w:val="004D07E1"/>
    <w:rsid w:val="004D1D16"/>
    <w:rsid w:val="004D2195"/>
    <w:rsid w:val="004F039C"/>
    <w:rsid w:val="004F1957"/>
    <w:rsid w:val="004F6F76"/>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A18B9"/>
    <w:rsid w:val="005B00EE"/>
    <w:rsid w:val="005B39C0"/>
    <w:rsid w:val="005B77B3"/>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5583"/>
    <w:rsid w:val="006462C6"/>
    <w:rsid w:val="0065228D"/>
    <w:rsid w:val="0065473E"/>
    <w:rsid w:val="0065567D"/>
    <w:rsid w:val="00661B64"/>
    <w:rsid w:val="00662673"/>
    <w:rsid w:val="00663B8E"/>
    <w:rsid w:val="00665AFB"/>
    <w:rsid w:val="00680433"/>
    <w:rsid w:val="00680B72"/>
    <w:rsid w:val="00680F02"/>
    <w:rsid w:val="00686662"/>
    <w:rsid w:val="00691FF1"/>
    <w:rsid w:val="006A1B7C"/>
    <w:rsid w:val="006A1E21"/>
    <w:rsid w:val="006B4937"/>
    <w:rsid w:val="006B50A9"/>
    <w:rsid w:val="006D733A"/>
    <w:rsid w:val="006F0C0C"/>
    <w:rsid w:val="006F4D73"/>
    <w:rsid w:val="00700FFF"/>
    <w:rsid w:val="00701926"/>
    <w:rsid w:val="0071696C"/>
    <w:rsid w:val="00720964"/>
    <w:rsid w:val="00722EC8"/>
    <w:rsid w:val="00722F08"/>
    <w:rsid w:val="00737B32"/>
    <w:rsid w:val="00742DB6"/>
    <w:rsid w:val="00760C6E"/>
    <w:rsid w:val="007743A9"/>
    <w:rsid w:val="0078316B"/>
    <w:rsid w:val="007A18BF"/>
    <w:rsid w:val="007A4371"/>
    <w:rsid w:val="007C1BC3"/>
    <w:rsid w:val="007C7A38"/>
    <w:rsid w:val="007D3382"/>
    <w:rsid w:val="007D3D44"/>
    <w:rsid w:val="007D4394"/>
    <w:rsid w:val="007E324C"/>
    <w:rsid w:val="007E3376"/>
    <w:rsid w:val="007E5485"/>
    <w:rsid w:val="007F520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3042E"/>
    <w:rsid w:val="009312CE"/>
    <w:rsid w:val="00943810"/>
    <w:rsid w:val="0094540F"/>
    <w:rsid w:val="00946CE2"/>
    <w:rsid w:val="00960FB4"/>
    <w:rsid w:val="0096285E"/>
    <w:rsid w:val="00967297"/>
    <w:rsid w:val="00967C5D"/>
    <w:rsid w:val="009702EA"/>
    <w:rsid w:val="00971B10"/>
    <w:rsid w:val="009812BD"/>
    <w:rsid w:val="0099239C"/>
    <w:rsid w:val="009B2D81"/>
    <w:rsid w:val="009B4990"/>
    <w:rsid w:val="009B6C11"/>
    <w:rsid w:val="009C0B4B"/>
    <w:rsid w:val="009C4C45"/>
    <w:rsid w:val="009C7061"/>
    <w:rsid w:val="009D77E3"/>
    <w:rsid w:val="009F1392"/>
    <w:rsid w:val="009F7656"/>
    <w:rsid w:val="00A0206C"/>
    <w:rsid w:val="00A145CC"/>
    <w:rsid w:val="00A153AB"/>
    <w:rsid w:val="00A175F1"/>
    <w:rsid w:val="00A32F1B"/>
    <w:rsid w:val="00A53F8F"/>
    <w:rsid w:val="00A6133D"/>
    <w:rsid w:val="00A64BC9"/>
    <w:rsid w:val="00A80866"/>
    <w:rsid w:val="00A83A05"/>
    <w:rsid w:val="00A94D76"/>
    <w:rsid w:val="00AA07A8"/>
    <w:rsid w:val="00AA249D"/>
    <w:rsid w:val="00AA31A2"/>
    <w:rsid w:val="00AA62F4"/>
    <w:rsid w:val="00AC5727"/>
    <w:rsid w:val="00AC6DFD"/>
    <w:rsid w:val="00AC7B59"/>
    <w:rsid w:val="00AD2C01"/>
    <w:rsid w:val="00AD2F33"/>
    <w:rsid w:val="00AD7BAB"/>
    <w:rsid w:val="00AE4934"/>
    <w:rsid w:val="00AE5396"/>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C262C"/>
    <w:rsid w:val="00BD1ABA"/>
    <w:rsid w:val="00BD6DD6"/>
    <w:rsid w:val="00BE5B9A"/>
    <w:rsid w:val="00BF3BF7"/>
    <w:rsid w:val="00BF733C"/>
    <w:rsid w:val="00C00DCD"/>
    <w:rsid w:val="00C02322"/>
    <w:rsid w:val="00C0649C"/>
    <w:rsid w:val="00C07E35"/>
    <w:rsid w:val="00C16B6D"/>
    <w:rsid w:val="00C2236D"/>
    <w:rsid w:val="00C22C6A"/>
    <w:rsid w:val="00C26E74"/>
    <w:rsid w:val="00C5327F"/>
    <w:rsid w:val="00C60015"/>
    <w:rsid w:val="00C604F0"/>
    <w:rsid w:val="00C61F3C"/>
    <w:rsid w:val="00C72B61"/>
    <w:rsid w:val="00C73CBC"/>
    <w:rsid w:val="00C73E3A"/>
    <w:rsid w:val="00C80425"/>
    <w:rsid w:val="00C95632"/>
    <w:rsid w:val="00CA3979"/>
    <w:rsid w:val="00CA5613"/>
    <w:rsid w:val="00CB6393"/>
    <w:rsid w:val="00CE6310"/>
    <w:rsid w:val="00CF0B5D"/>
    <w:rsid w:val="00D06589"/>
    <w:rsid w:val="00D0731F"/>
    <w:rsid w:val="00D112CD"/>
    <w:rsid w:val="00D16773"/>
    <w:rsid w:val="00D17432"/>
    <w:rsid w:val="00D26F3C"/>
    <w:rsid w:val="00D35FA4"/>
    <w:rsid w:val="00D36FF9"/>
    <w:rsid w:val="00D40D86"/>
    <w:rsid w:val="00D41822"/>
    <w:rsid w:val="00D5546C"/>
    <w:rsid w:val="00D560B0"/>
    <w:rsid w:val="00D67473"/>
    <w:rsid w:val="00D722F3"/>
    <w:rsid w:val="00D743AD"/>
    <w:rsid w:val="00D847D5"/>
    <w:rsid w:val="00DA6268"/>
    <w:rsid w:val="00DD086C"/>
    <w:rsid w:val="00DD7225"/>
    <w:rsid w:val="00DE1967"/>
    <w:rsid w:val="00DF480F"/>
    <w:rsid w:val="00DF5EA9"/>
    <w:rsid w:val="00E04D52"/>
    <w:rsid w:val="00E05814"/>
    <w:rsid w:val="00E201B7"/>
    <w:rsid w:val="00E2125C"/>
    <w:rsid w:val="00E2369A"/>
    <w:rsid w:val="00E25000"/>
    <w:rsid w:val="00E30C22"/>
    <w:rsid w:val="00E34AB6"/>
    <w:rsid w:val="00E472A5"/>
    <w:rsid w:val="00E516A4"/>
    <w:rsid w:val="00E53C43"/>
    <w:rsid w:val="00E631DE"/>
    <w:rsid w:val="00E638E1"/>
    <w:rsid w:val="00E720D7"/>
    <w:rsid w:val="00E7240F"/>
    <w:rsid w:val="00E747F9"/>
    <w:rsid w:val="00E76281"/>
    <w:rsid w:val="00E9268A"/>
    <w:rsid w:val="00E948D1"/>
    <w:rsid w:val="00E96F5F"/>
    <w:rsid w:val="00EB1BA7"/>
    <w:rsid w:val="00EC5DDB"/>
    <w:rsid w:val="00EC602A"/>
    <w:rsid w:val="00ED053D"/>
    <w:rsid w:val="00ED56C0"/>
    <w:rsid w:val="00EF209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CBD80F0"/>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ind w:left="5643"/>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customStyle="1" w:styleId="Bullets">
    <w:name w:val="Bullets"/>
    <w:qFormat/>
    <w:rsid w:val="00D112CD"/>
    <w:pPr>
      <w:numPr>
        <w:numId w:val="16"/>
      </w:numPr>
      <w:spacing w:after="120" w:line="276" w:lineRule="auto"/>
    </w:pPr>
    <w:rPr>
      <w:rFonts w:eastAsiaTheme="minorEastAsia" w:cstheme="minorBidi"/>
      <w:sz w:val="24"/>
      <w:szCs w:val="24"/>
      <w:lang w:eastAsia="en-US"/>
    </w:rPr>
  </w:style>
  <w:style w:type="paragraph" w:styleId="ListParagraph">
    <w:name w:val="List Paragraph"/>
    <w:basedOn w:val="Normal"/>
    <w:uiPriority w:val="34"/>
    <w:qFormat/>
    <w:rsid w:val="00D112CD"/>
    <w:pPr>
      <w:spacing w:before="0" w:after="120" w:line="276" w:lineRule="auto"/>
      <w:jc w:val="left"/>
    </w:pPr>
    <w:rPr>
      <w:rFonts w:eastAsiaTheme="minorEastAsia"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52169917">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karat.subannarat@britishcouncil.or.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9727525A0F1E439DB4C89C6EF05FD6" ma:contentTypeVersion="13" ma:contentTypeDescription="Create a new document." ma:contentTypeScope="" ma:versionID="4611788b8342f0fc515eaf23e60e2669">
  <xsd:schema xmlns:xsd="http://www.w3.org/2001/XMLSchema" xmlns:xs="http://www.w3.org/2001/XMLSchema" xmlns:p="http://schemas.microsoft.com/office/2006/metadata/properties" xmlns:ns2="c40ef463-fdfe-4e9b-bb24-129403de1b41" xmlns:ns3="88d5e19c-ccfa-4121-b70f-27ebd5a65f6e" targetNamespace="http://schemas.microsoft.com/office/2006/metadata/properties" ma:root="true" ma:fieldsID="60a9a4f3e97d8b65803a432d6b962b83" ns2:_="" ns3:_="">
    <xsd:import namespace="c40ef463-fdfe-4e9b-bb24-129403de1b41"/>
    <xsd:import namespace="88d5e19c-ccfa-4121-b70f-27ebd5a65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f463-fdfe-4e9b-bb24-129403de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5e19c-ccfa-4121-b70f-27ebd5a65f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92500-2FFA-4563-9B6B-FF9DE1702B4D}">
  <ds:schemaRefs>
    <ds:schemaRef ds:uri="http://purl.org/dc/terms/"/>
    <ds:schemaRef ds:uri="http://schemas.openxmlformats.org/package/2006/metadata/core-properties"/>
    <ds:schemaRef ds:uri="http://schemas.microsoft.com/office/2006/documentManagement/types"/>
    <ds:schemaRef ds:uri="88d5e19c-ccfa-4121-b70f-27ebd5a65f6e"/>
    <ds:schemaRef ds:uri="http://schemas.microsoft.com/office/infopath/2007/PartnerControls"/>
    <ds:schemaRef ds:uri="http://purl.org/dc/elements/1.1/"/>
    <ds:schemaRef ds:uri="http://schemas.microsoft.com/office/2006/metadata/properties"/>
    <ds:schemaRef ds:uri="c40ef463-fdfe-4e9b-bb24-129403de1b41"/>
    <ds:schemaRef ds:uri="http://www.w3.org/XML/1998/namespace"/>
    <ds:schemaRef ds:uri="http://purl.org/dc/dcmitype/"/>
  </ds:schemaRefs>
</ds:datastoreItem>
</file>

<file path=customXml/itemProps2.xml><?xml version="1.0" encoding="utf-8"?>
<ds:datastoreItem xmlns:ds="http://schemas.openxmlformats.org/officeDocument/2006/customXml" ds:itemID="{C07D4EF6-DF29-4293-B9BF-7E3859B5C3AB}">
  <ds:schemaRefs>
    <ds:schemaRef ds:uri="http://schemas.microsoft.com/sharepoint/v3/contenttype/forms"/>
  </ds:schemaRefs>
</ds:datastoreItem>
</file>

<file path=customXml/itemProps3.xml><?xml version="1.0" encoding="utf-8"?>
<ds:datastoreItem xmlns:ds="http://schemas.openxmlformats.org/officeDocument/2006/customXml" ds:itemID="{D28EEC1C-E260-49E2-9FE0-BF137CF6ED97}">
  <ds:schemaRefs>
    <ds:schemaRef ds:uri="http://schemas.openxmlformats.org/officeDocument/2006/bibliography"/>
  </ds:schemaRefs>
</ds:datastoreItem>
</file>

<file path=customXml/itemProps4.xml><?xml version="1.0" encoding="utf-8"?>
<ds:datastoreItem xmlns:ds="http://schemas.openxmlformats.org/officeDocument/2006/customXml" ds:itemID="{0368FFDD-1F5C-4FE1-8698-4F88C46A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f463-fdfe-4e9b-bb24-129403de1b41"/>
    <ds:schemaRef ds:uri="88d5e19c-ccfa-4121-b70f-27ebd5a6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14</TotalTime>
  <Pages>30</Pages>
  <Words>11444</Words>
  <Characters>62249</Characters>
  <Application>Microsoft Office Word</Application>
  <DocSecurity>0</DocSecurity>
  <Lines>518</Lines>
  <Paragraphs>147</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73546</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Uttamachai, Chavit (Thailand)</cp:lastModifiedBy>
  <cp:revision>16</cp:revision>
  <cp:lastPrinted>2017-01-17T15:05:00Z</cp:lastPrinted>
  <dcterms:created xsi:type="dcterms:W3CDTF">2021-08-03T09:18:00Z</dcterms:created>
  <dcterms:modified xsi:type="dcterms:W3CDTF">2021-08-09T03:47:00Z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0x0101000C9727525A0F1E439DB4C89C6EF05FD6</vt:lpwstr>
  </property>
</Properties>
</file>