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B1CAC" w14:textId="77777777" w:rsidR="004B7067" w:rsidRDefault="004B7067" w:rsidP="004B7067">
      <w:r>
        <w:rPr>
          <w:b/>
          <w:bCs/>
          <w:sz w:val="28"/>
          <w:szCs w:val="28"/>
        </w:rPr>
        <w:t xml:space="preserve">       </w:t>
      </w:r>
    </w:p>
    <w:p w14:paraId="3DF93ECB" w14:textId="7CBEE8E1" w:rsidR="004B7067" w:rsidRDefault="00081833" w:rsidP="00354E1E">
      <w:pPr>
        <w:ind w:left="-851"/>
        <w:rPr>
          <w:b/>
          <w:bCs/>
          <w:sz w:val="28"/>
          <w:szCs w:val="28"/>
        </w:rPr>
      </w:pPr>
      <w:r>
        <w:rPr>
          <w:b/>
          <w:bCs/>
          <w:sz w:val="28"/>
          <w:szCs w:val="28"/>
        </w:rPr>
        <w:t xml:space="preserve">             </w:t>
      </w:r>
      <w:r w:rsidR="004B7067">
        <w:rPr>
          <w:b/>
          <w:bCs/>
          <w:sz w:val="28"/>
          <w:szCs w:val="28"/>
        </w:rPr>
        <w:t>Annex 2 – Qualification Questionnaire</w:t>
      </w:r>
    </w:p>
    <w:p w14:paraId="0CB1AC05" w14:textId="1720E0C2" w:rsidR="005F374F" w:rsidRDefault="005F374F" w:rsidP="00081833">
      <w:pPr>
        <w:ind w:left="-851"/>
        <w:rPr>
          <w:b/>
          <w:bCs/>
          <w:sz w:val="28"/>
          <w:szCs w:val="28"/>
        </w:rPr>
      </w:pPr>
    </w:p>
    <w:p w14:paraId="3DF38EF9" w14:textId="77777777" w:rsidR="005F374F" w:rsidRPr="00CE3E7E" w:rsidRDefault="005F374F" w:rsidP="005F374F">
      <w:pPr>
        <w:rPr>
          <w:rFonts w:cstheme="minorHAnsi"/>
          <w:b/>
          <w:sz w:val="24"/>
          <w:szCs w:val="24"/>
        </w:rPr>
      </w:pPr>
      <w:r w:rsidRPr="00CE3E7E">
        <w:rPr>
          <w:rFonts w:cstheme="minorHAnsi"/>
          <w:b/>
          <w:sz w:val="24"/>
          <w:szCs w:val="24"/>
        </w:rPr>
        <w:t>Request for Proposal (RFP)</w:t>
      </w:r>
    </w:p>
    <w:p w14:paraId="43C0B8BA" w14:textId="77777777" w:rsidR="005F374F" w:rsidRPr="00CE3E7E" w:rsidRDefault="005F374F" w:rsidP="005F374F">
      <w:pPr>
        <w:rPr>
          <w:rFonts w:cstheme="minorHAnsi"/>
          <w:b/>
          <w:sz w:val="24"/>
          <w:szCs w:val="24"/>
        </w:rPr>
      </w:pPr>
    </w:p>
    <w:p w14:paraId="2BD703DC" w14:textId="77777777" w:rsidR="00354E1E" w:rsidRPr="004E07C2" w:rsidRDefault="00354E1E" w:rsidP="005A678C">
      <w:pPr>
        <w:pStyle w:val="ListParagraph"/>
        <w:spacing w:line="276" w:lineRule="auto"/>
        <w:ind w:left="0"/>
        <w:rPr>
          <w:rFonts w:ascii="Arial" w:hAnsi="Arial" w:cs="Arial"/>
          <w:b/>
          <w:bCs/>
        </w:rPr>
      </w:pPr>
      <w:r w:rsidRPr="004E07C2">
        <w:rPr>
          <w:rFonts w:ascii="Arial" w:hAnsi="Arial" w:cs="Arial"/>
          <w:b/>
        </w:rPr>
        <w:t xml:space="preserve">For: provision of consultancy service with Ministry of Education of the Republic of Azerbaijan on </w:t>
      </w:r>
      <w:r w:rsidRPr="004E07C2">
        <w:rPr>
          <w:rFonts w:ascii="Arial" w:hAnsi="Arial" w:cs="Arial"/>
          <w:b/>
          <w:bCs/>
        </w:rPr>
        <w:t>GRADUATE MODULE development under Higher and Vocational Education Subsystem (hereinafter referred to as “HVES”) of the Centralized Education Information System</w:t>
      </w:r>
    </w:p>
    <w:p w14:paraId="2E674C4E" w14:textId="77777777" w:rsidR="00354E1E" w:rsidRPr="004E07C2" w:rsidRDefault="00354E1E" w:rsidP="005A678C">
      <w:pPr>
        <w:pStyle w:val="ListParagraph"/>
        <w:spacing w:line="276" w:lineRule="auto"/>
        <w:ind w:left="0"/>
        <w:rPr>
          <w:rFonts w:ascii="Arial" w:hAnsi="Arial" w:cs="Arial"/>
          <w:b/>
          <w:bCs/>
        </w:rPr>
      </w:pPr>
    </w:p>
    <w:p w14:paraId="36832235" w14:textId="72BBEC5B" w:rsidR="005A678C" w:rsidRPr="004E07C2" w:rsidRDefault="005A678C" w:rsidP="005A678C">
      <w:pPr>
        <w:pStyle w:val="ListParagraph"/>
        <w:spacing w:line="276" w:lineRule="auto"/>
        <w:ind w:left="0"/>
        <w:rPr>
          <w:rFonts w:cstheme="minorHAnsi"/>
          <w:sz w:val="24"/>
          <w:szCs w:val="24"/>
        </w:rPr>
      </w:pPr>
      <w:r w:rsidRPr="004E07C2">
        <w:rPr>
          <w:rFonts w:cstheme="minorHAnsi"/>
          <w:sz w:val="24"/>
          <w:szCs w:val="24"/>
        </w:rPr>
        <w:t>The Graduates module development envisages:</w:t>
      </w:r>
    </w:p>
    <w:p w14:paraId="4457135D" w14:textId="77777777" w:rsidR="005A678C" w:rsidRPr="004E07C2" w:rsidRDefault="005A678C" w:rsidP="005A678C">
      <w:pPr>
        <w:pStyle w:val="ListParagraph"/>
        <w:spacing w:line="276" w:lineRule="auto"/>
        <w:ind w:left="0"/>
        <w:rPr>
          <w:rFonts w:cstheme="minorHAnsi"/>
          <w:b/>
          <w:bCs/>
          <w:sz w:val="24"/>
          <w:szCs w:val="24"/>
        </w:rPr>
      </w:pPr>
    </w:p>
    <w:p w14:paraId="5FC427DD" w14:textId="77777777" w:rsidR="005A678C" w:rsidRPr="004E07C2" w:rsidRDefault="005A678C" w:rsidP="005A678C">
      <w:pPr>
        <w:pStyle w:val="ListParagraph"/>
        <w:numPr>
          <w:ilvl w:val="0"/>
          <w:numId w:val="2"/>
        </w:numPr>
        <w:spacing w:after="0" w:line="240" w:lineRule="auto"/>
        <w:contextualSpacing w:val="0"/>
        <w:jc w:val="both"/>
        <w:rPr>
          <w:rFonts w:cstheme="minorHAnsi"/>
          <w:sz w:val="24"/>
          <w:szCs w:val="24"/>
        </w:rPr>
      </w:pPr>
      <w:r w:rsidRPr="004E07C2">
        <w:rPr>
          <w:rFonts w:cstheme="minorHAnsi"/>
          <w:sz w:val="24"/>
          <w:szCs w:val="24"/>
        </w:rPr>
        <w:t>Consultations with the Ministry of Education and educational institutions on monitoring the subsequent employment of graduates to further improve the initial terms of reference;</w:t>
      </w:r>
    </w:p>
    <w:p w14:paraId="033A369C" w14:textId="77777777" w:rsidR="005A678C" w:rsidRPr="004E07C2" w:rsidRDefault="005A678C" w:rsidP="005A678C">
      <w:pPr>
        <w:pStyle w:val="ListParagraph"/>
        <w:jc w:val="both"/>
        <w:rPr>
          <w:rFonts w:cstheme="minorHAnsi"/>
          <w:sz w:val="24"/>
          <w:szCs w:val="24"/>
          <w:lang w:eastAsia="en-GB"/>
        </w:rPr>
      </w:pPr>
      <w:bookmarkStart w:id="0" w:name="_GoBack"/>
      <w:bookmarkEnd w:id="0"/>
    </w:p>
    <w:p w14:paraId="6B4DB2AB" w14:textId="1361C916" w:rsidR="005A678C" w:rsidRPr="004E07C2" w:rsidRDefault="005A678C" w:rsidP="00DC4531">
      <w:pPr>
        <w:pStyle w:val="ListParagraph"/>
        <w:numPr>
          <w:ilvl w:val="0"/>
          <w:numId w:val="2"/>
        </w:numPr>
        <w:jc w:val="both"/>
        <w:rPr>
          <w:rFonts w:cstheme="minorHAnsi"/>
          <w:sz w:val="24"/>
          <w:szCs w:val="24"/>
        </w:rPr>
      </w:pPr>
      <w:r w:rsidRPr="004E07C2">
        <w:rPr>
          <w:rFonts w:cstheme="minorHAnsi"/>
          <w:sz w:val="24"/>
          <w:szCs w:val="24"/>
        </w:rPr>
        <w:t xml:space="preserve">Consultations on </w:t>
      </w:r>
      <w:r w:rsidR="00EF60EE" w:rsidRPr="004E07C2">
        <w:rPr>
          <w:rFonts w:cstheme="minorHAnsi"/>
          <w:sz w:val="24"/>
          <w:szCs w:val="24"/>
        </w:rPr>
        <w:t xml:space="preserve">collecting and </w:t>
      </w:r>
      <w:r w:rsidRPr="004E07C2">
        <w:rPr>
          <w:rFonts w:cstheme="minorHAnsi"/>
          <w:sz w:val="24"/>
          <w:szCs w:val="24"/>
        </w:rPr>
        <w:t xml:space="preserve">maintaining </w:t>
      </w:r>
      <w:r w:rsidR="00EF60EE" w:rsidRPr="004E07C2">
        <w:rPr>
          <w:rFonts w:cstheme="minorHAnsi"/>
          <w:sz w:val="24"/>
          <w:szCs w:val="24"/>
        </w:rPr>
        <w:t xml:space="preserve">of </w:t>
      </w:r>
      <w:r w:rsidRPr="004E07C2">
        <w:rPr>
          <w:rFonts w:cstheme="minorHAnsi"/>
          <w:sz w:val="24"/>
          <w:szCs w:val="24"/>
        </w:rPr>
        <w:t>graduates</w:t>
      </w:r>
      <w:r w:rsidR="00DF2079" w:rsidRPr="004E07C2">
        <w:rPr>
          <w:rFonts w:cstheme="minorHAnsi"/>
          <w:sz w:val="24"/>
          <w:szCs w:val="24"/>
        </w:rPr>
        <w:t>’</w:t>
      </w:r>
      <w:r w:rsidRPr="004E07C2">
        <w:rPr>
          <w:rFonts w:cstheme="minorHAnsi"/>
          <w:sz w:val="24"/>
          <w:szCs w:val="24"/>
        </w:rPr>
        <w:t xml:space="preserve"> contacts with their educational institutions after graduation;</w:t>
      </w:r>
    </w:p>
    <w:p w14:paraId="3ACD3FAD" w14:textId="77777777" w:rsidR="00DC4531" w:rsidRPr="004E07C2" w:rsidRDefault="00DC4531" w:rsidP="00DC4531">
      <w:pPr>
        <w:pStyle w:val="ListParagraph"/>
        <w:rPr>
          <w:rFonts w:cstheme="minorHAnsi"/>
          <w:sz w:val="24"/>
          <w:szCs w:val="24"/>
        </w:rPr>
      </w:pPr>
    </w:p>
    <w:p w14:paraId="786DFBEE" w14:textId="7FC2C94F" w:rsidR="00DC4531" w:rsidRPr="004E07C2" w:rsidRDefault="00DC4531" w:rsidP="00DC4531">
      <w:pPr>
        <w:pStyle w:val="ListParagraph"/>
        <w:numPr>
          <w:ilvl w:val="0"/>
          <w:numId w:val="2"/>
        </w:numPr>
        <w:jc w:val="both"/>
        <w:rPr>
          <w:rFonts w:cstheme="minorHAnsi"/>
          <w:sz w:val="24"/>
          <w:szCs w:val="24"/>
        </w:rPr>
      </w:pPr>
      <w:r w:rsidRPr="004E07C2">
        <w:rPr>
          <w:rFonts w:cs="Calibri"/>
        </w:rPr>
        <w:t xml:space="preserve">Consultations on communication between </w:t>
      </w:r>
      <w:r w:rsidRPr="004E07C2">
        <w:rPr>
          <w:rFonts w:cs="Calibri"/>
          <w:lang w:val="az-Latn-AZ"/>
        </w:rPr>
        <w:t xml:space="preserve">graduates and businesses, </w:t>
      </w:r>
      <w:r w:rsidR="00354E1E" w:rsidRPr="004E07C2">
        <w:rPr>
          <w:rFonts w:cs="Calibri"/>
          <w:lang w:val="az-Latn-AZ"/>
        </w:rPr>
        <w:t xml:space="preserve">graduates and </w:t>
      </w:r>
      <w:r w:rsidRPr="004E07C2">
        <w:rPr>
          <w:rFonts w:cs="Calibri"/>
          <w:lang w:val="az-Latn-AZ"/>
        </w:rPr>
        <w:t>employers.</w:t>
      </w:r>
    </w:p>
    <w:p w14:paraId="1EA276F3" w14:textId="77777777" w:rsidR="005A678C" w:rsidRPr="004E07C2" w:rsidRDefault="005A678C" w:rsidP="005A678C">
      <w:pPr>
        <w:jc w:val="both"/>
        <w:rPr>
          <w:rFonts w:cstheme="minorHAnsi"/>
          <w:b/>
          <w:bCs/>
          <w:sz w:val="24"/>
          <w:szCs w:val="24"/>
          <w:lang w:eastAsia="en-GB"/>
        </w:rPr>
      </w:pPr>
      <w:r w:rsidRPr="004E07C2">
        <w:rPr>
          <w:rFonts w:cstheme="minorHAnsi"/>
          <w:b/>
          <w:bCs/>
          <w:sz w:val="24"/>
          <w:szCs w:val="24"/>
        </w:rPr>
        <w:t>Purpose</w:t>
      </w:r>
    </w:p>
    <w:p w14:paraId="59BA100F" w14:textId="19AD2BE0" w:rsidR="005A678C" w:rsidRPr="004E07C2" w:rsidRDefault="005A678C" w:rsidP="005A678C">
      <w:pPr>
        <w:jc w:val="both"/>
        <w:rPr>
          <w:rFonts w:cstheme="minorHAnsi"/>
          <w:sz w:val="24"/>
          <w:szCs w:val="24"/>
        </w:rPr>
      </w:pPr>
      <w:r w:rsidRPr="004E07C2">
        <w:rPr>
          <w:rFonts w:cstheme="minorHAnsi"/>
          <w:sz w:val="24"/>
          <w:szCs w:val="24"/>
        </w:rPr>
        <w:t>This module will make it possible to track educational information of the students from the moment of admission to the educational institution through graduation and further employment. Thus, it is intended to determine the best educational institutions for students and track their employment. Tracking of students</w:t>
      </w:r>
      <w:r w:rsidR="00354E1E" w:rsidRPr="004E07C2">
        <w:rPr>
          <w:rFonts w:cstheme="minorHAnsi"/>
          <w:sz w:val="24"/>
          <w:szCs w:val="24"/>
        </w:rPr>
        <w:t>’</w:t>
      </w:r>
      <w:r w:rsidRPr="004E07C2">
        <w:rPr>
          <w:rFonts w:cstheme="minorHAnsi"/>
          <w:sz w:val="24"/>
          <w:szCs w:val="24"/>
        </w:rPr>
        <w:t xml:space="preserve"> activities means to obtain information on their graduation, employment status, post-graduate education and entrepreneurial activities.</w:t>
      </w:r>
    </w:p>
    <w:p w14:paraId="5206E9BD" w14:textId="77777777" w:rsidR="005A678C" w:rsidRPr="004E07C2" w:rsidRDefault="005A678C" w:rsidP="005A678C">
      <w:pPr>
        <w:rPr>
          <w:rFonts w:ascii="Arial" w:hAnsi="Arial" w:cs="Arial"/>
          <w:b/>
        </w:rPr>
      </w:pPr>
    </w:p>
    <w:tbl>
      <w:tblPr>
        <w:tblW w:w="964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4A0" w:firstRow="1" w:lastRow="0" w:firstColumn="1" w:lastColumn="0" w:noHBand="0" w:noVBand="1"/>
      </w:tblPr>
      <w:tblGrid>
        <w:gridCol w:w="8652"/>
        <w:gridCol w:w="993"/>
      </w:tblGrid>
      <w:tr w:rsidR="004B7067" w:rsidRPr="004E07C2" w14:paraId="425B18F4" w14:textId="77777777" w:rsidTr="00157151">
        <w:trPr>
          <w:trHeight w:val="660"/>
        </w:trPr>
        <w:tc>
          <w:tcPr>
            <w:tcW w:w="964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BF00775" w14:textId="77777777" w:rsidR="004B7067" w:rsidRPr="004E07C2" w:rsidRDefault="004B7067" w:rsidP="004D4B59">
            <w:pPr>
              <w:spacing w:before="120" w:after="120"/>
              <w:rPr>
                <w:rFonts w:eastAsia="Arial"/>
                <w:sz w:val="20"/>
                <w:szCs w:val="20"/>
              </w:rPr>
            </w:pPr>
            <w:r w:rsidRPr="004E07C2">
              <w:rPr>
                <w:rFonts w:eastAsia="Arial"/>
                <w:b/>
                <w:sz w:val="24"/>
                <w:szCs w:val="24"/>
              </w:rPr>
              <w:t xml:space="preserve">Provide the necessary licenses according to Article 9 in the ITT. </w:t>
            </w:r>
          </w:p>
        </w:tc>
      </w:tr>
      <w:tr w:rsidR="004B7067" w:rsidRPr="004E07C2" w14:paraId="0FD6D2A5" w14:textId="77777777" w:rsidTr="00157151">
        <w:trPr>
          <w:trHeight w:val="660"/>
        </w:trPr>
        <w:tc>
          <w:tcPr>
            <w:tcW w:w="8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D90F73" w14:textId="77777777" w:rsidR="004B7067" w:rsidRPr="004E07C2" w:rsidRDefault="004B7067" w:rsidP="004D4B59">
            <w:pPr>
              <w:tabs>
                <w:tab w:val="center" w:pos="4005"/>
              </w:tabs>
              <w:rPr>
                <w:rFonts w:eastAsia="Arial"/>
                <w:sz w:val="21"/>
                <w:szCs w:val="21"/>
              </w:rPr>
            </w:pPr>
          </w:p>
          <w:p w14:paraId="11327B35" w14:textId="3F3CF5D3" w:rsidR="004B7067" w:rsidRPr="004E07C2" w:rsidRDefault="004B7067" w:rsidP="004B7067">
            <w:pPr>
              <w:numPr>
                <w:ilvl w:val="0"/>
                <w:numId w:val="1"/>
              </w:numPr>
              <w:spacing w:before="60" w:line="276" w:lineRule="auto"/>
              <w:jc w:val="both"/>
              <w:rPr>
                <w:rFonts w:eastAsia="SimSun"/>
                <w:sz w:val="20"/>
              </w:rPr>
            </w:pPr>
            <w:r w:rsidRPr="004E07C2">
              <w:t xml:space="preserve">Dedicated named </w:t>
            </w:r>
            <w:r w:rsidR="00157151" w:rsidRPr="004E07C2">
              <w:t>personnel</w:t>
            </w:r>
            <w:r w:rsidRPr="004E07C2">
              <w:t xml:space="preserve"> for the project</w:t>
            </w:r>
          </w:p>
          <w:p w14:paraId="58AD5E38" w14:textId="77777777" w:rsidR="004B7067" w:rsidRPr="004E07C2" w:rsidRDefault="004B7067" w:rsidP="004D4B59">
            <w:pPr>
              <w:pStyle w:val="ListParagraph"/>
              <w:spacing w:before="120" w:after="120" w:line="240" w:lineRule="auto"/>
              <w:jc w:val="both"/>
              <w:rPr>
                <w:rFonts w:ascii="Arial" w:hAnsi="Arial" w:cs="Arial"/>
                <w:sz w:val="21"/>
                <w:szCs w:val="21"/>
              </w:rPr>
            </w:pPr>
          </w:p>
        </w:tc>
        <w:tc>
          <w:tcPr>
            <w:tcW w:w="993" w:type="dxa"/>
            <w:tcBorders>
              <w:top w:val="single" w:sz="8" w:space="0" w:color="auto"/>
              <w:left w:val="single" w:sz="8" w:space="0" w:color="auto"/>
              <w:bottom w:val="single" w:sz="8" w:space="0" w:color="auto"/>
              <w:right w:val="single" w:sz="8" w:space="0" w:color="auto"/>
            </w:tcBorders>
            <w:hideMark/>
          </w:tcPr>
          <w:p w14:paraId="0E046C81" w14:textId="49F5979F" w:rsidR="004B7067" w:rsidRPr="004E07C2" w:rsidRDefault="004B7067" w:rsidP="004D4B59">
            <w:pPr>
              <w:spacing w:before="120" w:after="120"/>
              <w:jc w:val="both"/>
              <w:rPr>
                <w:rFonts w:ascii="Arial" w:eastAsia="Arial" w:hAnsi="Arial" w:cs="Arial"/>
                <w:b/>
                <w:bCs/>
                <w:sz w:val="21"/>
                <w:szCs w:val="21"/>
              </w:rPr>
            </w:pPr>
            <w:r w:rsidRPr="004E07C2">
              <w:rPr>
                <w:rFonts w:eastAsia="Arial"/>
                <w:sz w:val="21"/>
                <w:szCs w:val="21"/>
              </w:rPr>
              <w:br/>
            </w:r>
            <w:r w:rsidRPr="004E07C2">
              <w:rPr>
                <w:rFonts w:eastAsia="Arial"/>
                <w:b/>
                <w:bCs/>
                <w:sz w:val="21"/>
                <w:szCs w:val="21"/>
              </w:rPr>
              <w:t>Yes</w:t>
            </w:r>
          </w:p>
          <w:p w14:paraId="5AC34264" w14:textId="77777777" w:rsidR="004B7067" w:rsidRPr="004E07C2" w:rsidRDefault="004B7067" w:rsidP="004D4B59">
            <w:pPr>
              <w:spacing w:before="120" w:after="120"/>
              <w:jc w:val="both"/>
              <w:rPr>
                <w:rFonts w:eastAsia="SimSun"/>
                <w:sz w:val="21"/>
                <w:szCs w:val="21"/>
              </w:rPr>
            </w:pPr>
            <w:r w:rsidRPr="004E07C2">
              <w:rPr>
                <w:rFonts w:eastAsia="Arial"/>
                <w:sz w:val="21"/>
                <w:szCs w:val="21"/>
              </w:rPr>
              <w:fldChar w:fldCharType="begin">
                <w:ffData>
                  <w:name w:val=""/>
                  <w:enabled/>
                  <w:calcOnExit w:val="0"/>
                  <w:checkBox>
                    <w:sizeAuto/>
                    <w:default w:val="0"/>
                  </w:checkBox>
                </w:ffData>
              </w:fldChar>
            </w:r>
            <w:r w:rsidRPr="004E07C2">
              <w:rPr>
                <w:rFonts w:eastAsia="Arial"/>
                <w:sz w:val="21"/>
                <w:szCs w:val="21"/>
              </w:rPr>
              <w:instrText xml:space="preserve"> FORMCHECKBOX </w:instrText>
            </w:r>
            <w:r w:rsidR="004E07C2" w:rsidRPr="004E07C2">
              <w:rPr>
                <w:rFonts w:eastAsia="Arial"/>
                <w:sz w:val="21"/>
                <w:szCs w:val="21"/>
              </w:rPr>
            </w:r>
            <w:r w:rsidR="004E07C2" w:rsidRPr="004E07C2">
              <w:rPr>
                <w:rFonts w:eastAsia="Arial"/>
                <w:sz w:val="21"/>
                <w:szCs w:val="21"/>
              </w:rPr>
              <w:fldChar w:fldCharType="separate"/>
            </w:r>
            <w:r w:rsidRPr="004E07C2">
              <w:rPr>
                <w:rFonts w:eastAsia="Arial"/>
                <w:sz w:val="21"/>
                <w:szCs w:val="21"/>
              </w:rPr>
              <w:fldChar w:fldCharType="end"/>
            </w:r>
            <w:r w:rsidRPr="004E07C2">
              <w:rPr>
                <w:rFonts w:eastAsia="Arial"/>
                <w:sz w:val="21"/>
                <w:szCs w:val="21"/>
              </w:rPr>
              <w:t xml:space="preserve"> No</w:t>
            </w:r>
          </w:p>
        </w:tc>
      </w:tr>
      <w:tr w:rsidR="004B7067" w14:paraId="0582E0BB" w14:textId="77777777" w:rsidTr="00157151">
        <w:trPr>
          <w:trHeight w:val="660"/>
        </w:trPr>
        <w:tc>
          <w:tcPr>
            <w:tcW w:w="8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BAF07" w14:textId="77777777" w:rsidR="004B7067" w:rsidRPr="004E07C2" w:rsidRDefault="004B7067" w:rsidP="004D4B59">
            <w:pPr>
              <w:tabs>
                <w:tab w:val="center" w:pos="4005"/>
              </w:tabs>
              <w:rPr>
                <w:rFonts w:eastAsia="Arial"/>
                <w:sz w:val="21"/>
                <w:szCs w:val="21"/>
              </w:rPr>
            </w:pPr>
          </w:p>
          <w:p w14:paraId="3B566407" w14:textId="77777777" w:rsidR="004B7067" w:rsidRPr="004E07C2" w:rsidRDefault="004B7067" w:rsidP="00CE3E7E">
            <w:pPr>
              <w:numPr>
                <w:ilvl w:val="0"/>
                <w:numId w:val="1"/>
              </w:numPr>
              <w:spacing w:before="60" w:line="276" w:lineRule="auto"/>
              <w:jc w:val="both"/>
              <w:rPr>
                <w:rFonts w:ascii="Arial" w:eastAsia="Arial" w:hAnsi="Arial" w:cs="Arial"/>
                <w:b/>
                <w:bCs/>
                <w:sz w:val="21"/>
                <w:szCs w:val="21"/>
              </w:rPr>
            </w:pPr>
            <w:r w:rsidRPr="004E07C2">
              <w:t>Proof of capability to undertake the tasks</w:t>
            </w:r>
          </w:p>
        </w:tc>
        <w:tc>
          <w:tcPr>
            <w:tcW w:w="993" w:type="dxa"/>
            <w:tcBorders>
              <w:top w:val="single" w:sz="8" w:space="0" w:color="auto"/>
              <w:left w:val="single" w:sz="8" w:space="0" w:color="auto"/>
              <w:bottom w:val="single" w:sz="8" w:space="0" w:color="auto"/>
              <w:right w:val="single" w:sz="8" w:space="0" w:color="auto"/>
            </w:tcBorders>
            <w:hideMark/>
          </w:tcPr>
          <w:p w14:paraId="7C483B21" w14:textId="7548040B" w:rsidR="004B7067" w:rsidRPr="004E07C2" w:rsidRDefault="004B7067" w:rsidP="004D4B59">
            <w:pPr>
              <w:spacing w:before="120" w:after="120"/>
              <w:jc w:val="both"/>
              <w:rPr>
                <w:rFonts w:ascii="Arial" w:eastAsia="Arial" w:hAnsi="Arial" w:cs="Arial"/>
                <w:b/>
                <w:bCs/>
                <w:sz w:val="21"/>
                <w:szCs w:val="21"/>
              </w:rPr>
            </w:pPr>
            <w:r w:rsidRPr="004E07C2">
              <w:rPr>
                <w:rFonts w:eastAsia="Arial"/>
                <w:sz w:val="21"/>
                <w:szCs w:val="21"/>
              </w:rPr>
              <w:br/>
            </w:r>
            <w:r w:rsidRPr="004E07C2">
              <w:rPr>
                <w:rFonts w:eastAsia="Arial"/>
                <w:b/>
                <w:bCs/>
                <w:sz w:val="21"/>
                <w:szCs w:val="21"/>
              </w:rPr>
              <w:t>Yes</w:t>
            </w:r>
          </w:p>
          <w:p w14:paraId="7A1151FA" w14:textId="77777777" w:rsidR="004B7067" w:rsidRPr="004E07C2" w:rsidRDefault="004B7067" w:rsidP="004D4B59">
            <w:pPr>
              <w:spacing w:before="120" w:after="120"/>
              <w:jc w:val="both"/>
              <w:rPr>
                <w:rFonts w:eastAsia="Arial"/>
                <w:sz w:val="21"/>
                <w:szCs w:val="21"/>
              </w:rPr>
            </w:pPr>
            <w:r w:rsidRPr="004E07C2">
              <w:rPr>
                <w:rFonts w:eastAsia="Arial"/>
                <w:sz w:val="21"/>
                <w:szCs w:val="21"/>
              </w:rPr>
              <w:fldChar w:fldCharType="begin">
                <w:ffData>
                  <w:name w:val=""/>
                  <w:enabled/>
                  <w:calcOnExit w:val="0"/>
                  <w:checkBox>
                    <w:sizeAuto/>
                    <w:default w:val="0"/>
                  </w:checkBox>
                </w:ffData>
              </w:fldChar>
            </w:r>
            <w:r w:rsidRPr="004E07C2">
              <w:rPr>
                <w:rFonts w:eastAsia="Arial"/>
                <w:sz w:val="21"/>
                <w:szCs w:val="21"/>
              </w:rPr>
              <w:instrText xml:space="preserve"> FORMCHECKBOX </w:instrText>
            </w:r>
            <w:r w:rsidR="004E07C2" w:rsidRPr="004E07C2">
              <w:rPr>
                <w:rFonts w:eastAsia="Arial"/>
                <w:sz w:val="21"/>
                <w:szCs w:val="21"/>
              </w:rPr>
            </w:r>
            <w:r w:rsidR="004E07C2" w:rsidRPr="004E07C2">
              <w:rPr>
                <w:rFonts w:eastAsia="Arial"/>
                <w:sz w:val="21"/>
                <w:szCs w:val="21"/>
              </w:rPr>
              <w:fldChar w:fldCharType="separate"/>
            </w:r>
            <w:r w:rsidRPr="004E07C2">
              <w:rPr>
                <w:rFonts w:eastAsia="Arial"/>
                <w:sz w:val="21"/>
                <w:szCs w:val="21"/>
              </w:rPr>
              <w:fldChar w:fldCharType="end"/>
            </w:r>
            <w:r w:rsidRPr="004E07C2">
              <w:rPr>
                <w:rFonts w:eastAsia="Arial"/>
                <w:sz w:val="21"/>
                <w:szCs w:val="21"/>
              </w:rPr>
              <w:t xml:space="preserve"> No</w:t>
            </w:r>
          </w:p>
        </w:tc>
      </w:tr>
    </w:tbl>
    <w:p w14:paraId="6ED368F0" w14:textId="77777777" w:rsidR="004B7067" w:rsidRDefault="004B7067" w:rsidP="004B7067">
      <w:pPr>
        <w:ind w:left="-851"/>
      </w:pPr>
    </w:p>
    <w:p w14:paraId="5F57B973" w14:textId="77777777" w:rsidR="004D0D3C" w:rsidRDefault="004D0D3C"/>
    <w:sectPr w:rsidR="004D0D3C" w:rsidSect="008F6BE7">
      <w:headerReference w:type="even" r:id="rId7"/>
      <w:headerReference w:type="default" r:id="rId8"/>
      <w:footerReference w:type="even" r:id="rId9"/>
      <w:footerReference w:type="default" r:id="rId10"/>
      <w:headerReference w:type="first" r:id="rId11"/>
      <w:footerReference w:type="first" r:id="rId12"/>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DC09" w14:textId="77777777" w:rsidR="00582E92" w:rsidRDefault="00582E92" w:rsidP="004B7067">
      <w:pPr>
        <w:spacing w:after="0" w:line="240" w:lineRule="auto"/>
      </w:pPr>
      <w:r>
        <w:separator/>
      </w:r>
    </w:p>
  </w:endnote>
  <w:endnote w:type="continuationSeparator" w:id="0">
    <w:p w14:paraId="3698CA77" w14:textId="77777777" w:rsidR="00582E92" w:rsidRDefault="00582E92" w:rsidP="004B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6C455" w14:textId="77777777" w:rsidR="008F6BE7" w:rsidRDefault="004E07C2">
    <w:pPr>
      <w:pStyle w:val="Footer"/>
    </w:pPr>
  </w:p>
  <w:p w14:paraId="7266D68E" w14:textId="77777777" w:rsidR="008F6BE7" w:rsidRDefault="004E07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8F6BE7" w14:paraId="61DB5653" w14:textId="77777777">
      <w:trPr>
        <w:trHeight w:val="140"/>
      </w:trPr>
      <w:tc>
        <w:tcPr>
          <w:tcW w:w="3192" w:type="dxa"/>
        </w:tcPr>
        <w:p w14:paraId="72F0EA11" w14:textId="77777777" w:rsidR="008F6BE7" w:rsidRDefault="004B7067">
          <w:pPr>
            <w:pStyle w:val="Footer"/>
            <w:rPr>
              <w:sz w:val="16"/>
            </w:rPr>
          </w:pPr>
          <w:r>
            <w:rPr>
              <w:snapToGrid w:val="0"/>
              <w:sz w:val="16"/>
            </w:rPr>
            <w:t>British Council RFP</w:t>
          </w:r>
        </w:p>
      </w:tc>
      <w:tc>
        <w:tcPr>
          <w:tcW w:w="3192" w:type="dxa"/>
        </w:tcPr>
        <w:p w14:paraId="1F50714F" w14:textId="77777777" w:rsidR="008F6BE7" w:rsidRDefault="004B706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192" w:type="dxa"/>
        </w:tcPr>
        <w:p w14:paraId="6C17A329" w14:textId="77777777" w:rsidR="008F6BE7" w:rsidRDefault="004E07C2">
          <w:pPr>
            <w:pStyle w:val="Footer"/>
            <w:rPr>
              <w:sz w:val="16"/>
            </w:rPr>
          </w:pPr>
        </w:p>
      </w:tc>
    </w:tr>
  </w:tbl>
  <w:p w14:paraId="368BA6DD" w14:textId="77777777" w:rsidR="008F6BE7" w:rsidRDefault="004E07C2">
    <w:pPr>
      <w:pStyle w:val="Footer"/>
      <w:rPr>
        <w:sz w:val="16"/>
      </w:rPr>
    </w:pPr>
  </w:p>
  <w:p w14:paraId="268D37AA" w14:textId="77777777" w:rsidR="008F6BE7" w:rsidRDefault="004E07C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F109B" w14:textId="77777777" w:rsidR="008F6BE7" w:rsidRDefault="004E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5A99D" w14:textId="77777777" w:rsidR="00582E92" w:rsidRDefault="00582E92" w:rsidP="004B7067">
      <w:pPr>
        <w:spacing w:after="0" w:line="240" w:lineRule="auto"/>
      </w:pPr>
      <w:r>
        <w:separator/>
      </w:r>
    </w:p>
  </w:footnote>
  <w:footnote w:type="continuationSeparator" w:id="0">
    <w:p w14:paraId="04A6491D" w14:textId="77777777" w:rsidR="00582E92" w:rsidRDefault="00582E92" w:rsidP="004B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DC370" w14:textId="77777777" w:rsidR="008F6BE7" w:rsidRDefault="004E07C2">
    <w:pPr>
      <w:pStyle w:val="Header"/>
    </w:pPr>
  </w:p>
  <w:p w14:paraId="70EF6A17" w14:textId="77777777" w:rsidR="008F6BE7" w:rsidRDefault="004E07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6D64" w14:textId="77777777" w:rsidR="008F6BE7" w:rsidRDefault="004E07C2">
    <w:pPr>
      <w:pStyle w:val="Header"/>
    </w:pPr>
  </w:p>
  <w:p w14:paraId="78A88977" w14:textId="77777777" w:rsidR="008F6BE7" w:rsidRDefault="004E07C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671A" w14:textId="77777777" w:rsidR="008F6BE7" w:rsidRDefault="004E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33320"/>
    <w:multiLevelType w:val="hybridMultilevel"/>
    <w:tmpl w:val="11400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643803"/>
    <w:multiLevelType w:val="hybridMultilevel"/>
    <w:tmpl w:val="665E97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67"/>
    <w:rsid w:val="00081833"/>
    <w:rsid w:val="00157151"/>
    <w:rsid w:val="001730E8"/>
    <w:rsid w:val="00253F70"/>
    <w:rsid w:val="002C604B"/>
    <w:rsid w:val="00337CCC"/>
    <w:rsid w:val="00354E1E"/>
    <w:rsid w:val="003B3F03"/>
    <w:rsid w:val="004A1E37"/>
    <w:rsid w:val="004B7067"/>
    <w:rsid w:val="004C4CB3"/>
    <w:rsid w:val="004D0D3C"/>
    <w:rsid w:val="004E07C2"/>
    <w:rsid w:val="00527CF4"/>
    <w:rsid w:val="00582E92"/>
    <w:rsid w:val="005A678C"/>
    <w:rsid w:val="005F374F"/>
    <w:rsid w:val="0099366F"/>
    <w:rsid w:val="00AF6C60"/>
    <w:rsid w:val="00C56D3A"/>
    <w:rsid w:val="00CE3E7E"/>
    <w:rsid w:val="00CE7D11"/>
    <w:rsid w:val="00DC4531"/>
    <w:rsid w:val="00DF2079"/>
    <w:rsid w:val="00EF6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DD52D"/>
  <w15:chartTrackingRefBased/>
  <w15:docId w15:val="{368A9926-CB1C-43F7-A408-8852F0D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70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B7067"/>
  </w:style>
  <w:style w:type="paragraph" w:styleId="Footer">
    <w:name w:val="footer"/>
    <w:basedOn w:val="Normal"/>
    <w:link w:val="FooterChar"/>
    <w:uiPriority w:val="99"/>
    <w:semiHidden/>
    <w:unhideWhenUsed/>
    <w:rsid w:val="004B70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B7067"/>
  </w:style>
  <w:style w:type="character" w:styleId="PageNumber">
    <w:name w:val="page number"/>
    <w:basedOn w:val="DefaultParagraphFont"/>
    <w:rsid w:val="004B7067"/>
  </w:style>
  <w:style w:type="paragraph" w:styleId="ListParagraph">
    <w:name w:val="List Paragraph"/>
    <w:aliases w:val="Dot pt,List Paragraph2,Normal numbered,OBC Bullet,F5 List Paragraph,List Paragraph1,No Spacing1,List Paragraph Char Char Char,Indicator Text,Numbered Para 1,Bullet 1,Bullet Points,MAIN CONTENT,Colorful List - Accent 11,List Paragraph11,L"/>
    <w:basedOn w:val="Normal"/>
    <w:uiPriority w:val="34"/>
    <w:qFormat/>
    <w:rsid w:val="004B70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Baimova, Nigar (Azerbaijan)</dc:creator>
  <cp:keywords/>
  <dc:description/>
  <cp:lastModifiedBy>Huseynova, Nargiz (Azerbaijan)</cp:lastModifiedBy>
  <cp:revision>15</cp:revision>
  <dcterms:created xsi:type="dcterms:W3CDTF">2020-11-18T13:14:00Z</dcterms:created>
  <dcterms:modified xsi:type="dcterms:W3CDTF">2020-12-15T19:26:00Z</dcterms:modified>
</cp:coreProperties>
</file>