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Baku Higher Oil School BHOS is looking for 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24"/>
          <w:szCs w:val="24"/>
          <w:highlight w:val="white"/>
          <w:rtl w:val="0"/>
        </w:rPr>
        <w:t xml:space="preserve">professional bodies offering training and qualification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collaborate within its Lifelong learning initiative. Main criteria for the partner is to be direct contractor. Intermediary institutions shall specify their legal status in the application form.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Scope of partnership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BHOS aims to become country representatives of professional international recognized certification programs as training and certification test organizer.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Following are areas of interest.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  Technology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</w:t>
        <w:tab/>
        <w:t xml:space="preserve">Cyber security Strategy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</w:t>
        <w:tab/>
        <w:t xml:space="preserve">Data Science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</w:t>
        <w:tab/>
        <w:t xml:space="preserve">Oracle Certification Program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</w:t>
        <w:tab/>
        <w:t xml:space="preserve">Apple certification program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</w:t>
        <w:tab/>
        <w:t xml:space="preserve">Microsoft Certified Professional program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1.6.</w:t>
        <w:tab/>
        <w:t xml:space="preserve">International Computer Driving License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1.7.</w:t>
        <w:tab/>
        <w:t xml:space="preserve">Certified Software Development Professional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1.8.</w:t>
        <w:tab/>
        <w:t xml:space="preserve">International Software Testing Qualifications Board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 </w:t>
        <w:tab/>
        <w:t xml:space="preserve">Engineering Leadership &amp; Management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</w:t>
        <w:tab/>
        <w:t xml:space="preserve">Management Science and Engineering Graduate Certificate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</w:t>
        <w:tab/>
        <w:t xml:space="preserve">Decision Analysis Graduate Certificate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</w:t>
        <w:tab/>
        <w:t xml:space="preserve">Product Creation and Innovative Manufacturing Graduate Certificate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</w:t>
        <w:tab/>
        <w:t xml:space="preserve">Advanced Project Management Professional Certificate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</w:t>
        <w:tab/>
        <w:t xml:space="preserve">Strategic Decision and Risk Management Professional Certificate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     Executive Certificates in Leadership &amp; Change Management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</w:t>
        <w:tab/>
        <w:t xml:space="preserve">Leadership Coaching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</w:t>
        <w:tab/>
        <w:t xml:space="preserve">Organizational Consulting &amp; Change Leadership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</w:t>
        <w:tab/>
        <w:t xml:space="preserve">Strategic Diversity &amp; Inclusion Management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</w:t>
        <w:tab/>
        <w:t xml:space="preserve">Transformational Leadership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 </w:t>
        <w:tab/>
        <w:t xml:space="preserve">Business &amp; Management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</w:t>
        <w:tab/>
        <w:t xml:space="preserve">4.2.</w:t>
        <w:tab/>
        <w:t xml:space="preserve">Franchise Management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</w:t>
        <w:tab/>
        <w:t xml:space="preserve">International Business Management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</w:t>
        <w:tab/>
        <w:t xml:space="preserve">Project Management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</w:t>
        <w:tab/>
        <w:t xml:space="preserve">Project Management Intensive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4.6.</w:t>
        <w:tab/>
        <w:t xml:space="preserve">Strategy and Performance Management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Roles/Governance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be agreed during contracting period.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