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06" w:rsidRDefault="008D2520" w:rsidP="00BE2961">
      <w:pPr>
        <w:jc w:val="center"/>
        <w:rPr>
          <w:b/>
          <w:sz w:val="24"/>
          <w:szCs w:val="24"/>
        </w:rPr>
      </w:pPr>
      <w:r>
        <w:rPr>
          <w:noProof/>
          <w:lang w:eastAsia="en-GB"/>
        </w:rPr>
        <w:drawing>
          <wp:inline distT="0" distB="0" distL="0" distR="0">
            <wp:extent cx="1367790" cy="373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790" cy="373380"/>
                    </a:xfrm>
                    <a:prstGeom prst="rect">
                      <a:avLst/>
                    </a:prstGeom>
                    <a:noFill/>
                    <a:ln>
                      <a:noFill/>
                    </a:ln>
                  </pic:spPr>
                </pic:pic>
              </a:graphicData>
            </a:graphic>
          </wp:inline>
        </w:drawing>
      </w:r>
    </w:p>
    <w:p w:rsidR="007B2306" w:rsidRDefault="007B2306" w:rsidP="00BE2961">
      <w:pPr>
        <w:jc w:val="center"/>
        <w:rPr>
          <w:b/>
          <w:sz w:val="24"/>
          <w:szCs w:val="24"/>
        </w:rPr>
      </w:pPr>
    </w:p>
    <w:p w:rsidR="009F07C7" w:rsidRDefault="009116B8" w:rsidP="00D61C97">
      <w:pPr>
        <w:jc w:val="center"/>
        <w:rPr>
          <w:b/>
          <w:sz w:val="24"/>
          <w:szCs w:val="24"/>
        </w:rPr>
      </w:pPr>
      <w:r>
        <w:rPr>
          <w:b/>
          <w:sz w:val="24"/>
          <w:szCs w:val="24"/>
        </w:rPr>
        <w:t>IT</w:t>
      </w:r>
      <w:r w:rsidR="00837108">
        <w:rPr>
          <w:b/>
          <w:sz w:val="24"/>
          <w:szCs w:val="24"/>
        </w:rPr>
        <w:t>Q</w:t>
      </w:r>
      <w:r w:rsidR="008B5203">
        <w:rPr>
          <w:b/>
          <w:sz w:val="24"/>
          <w:szCs w:val="24"/>
        </w:rPr>
        <w:t xml:space="preserve"> (Invitation to </w:t>
      </w:r>
      <w:r w:rsidR="00837108">
        <w:rPr>
          <w:b/>
          <w:sz w:val="24"/>
          <w:szCs w:val="24"/>
        </w:rPr>
        <w:t>Quote</w:t>
      </w:r>
      <w:r w:rsidR="008B5203">
        <w:rPr>
          <w:b/>
          <w:sz w:val="24"/>
          <w:szCs w:val="24"/>
        </w:rPr>
        <w:t>)</w:t>
      </w:r>
      <w:r w:rsidR="00D61C97">
        <w:rPr>
          <w:b/>
          <w:sz w:val="24"/>
          <w:szCs w:val="24"/>
        </w:rPr>
        <w:t xml:space="preserve"> </w:t>
      </w:r>
    </w:p>
    <w:p w:rsidR="009F17AA" w:rsidRPr="00D61C97" w:rsidRDefault="009F17AA" w:rsidP="00D61C97">
      <w:pPr>
        <w:jc w:val="center"/>
        <w:rPr>
          <w:color w:val="FF0000"/>
          <w:sz w:val="24"/>
          <w:szCs w:val="24"/>
        </w:rPr>
      </w:pPr>
    </w:p>
    <w:p w:rsidR="00BE2961" w:rsidRDefault="009F07C7" w:rsidP="00BE2961">
      <w:pPr>
        <w:jc w:val="center"/>
        <w:rPr>
          <w:b/>
          <w:sz w:val="24"/>
          <w:szCs w:val="24"/>
        </w:rPr>
      </w:pPr>
      <w:r>
        <w:rPr>
          <w:b/>
          <w:sz w:val="24"/>
          <w:szCs w:val="24"/>
        </w:rPr>
        <w:t>For</w:t>
      </w:r>
      <w:r w:rsidR="00BE2961" w:rsidRPr="00BE2961">
        <w:rPr>
          <w:b/>
          <w:sz w:val="24"/>
          <w:szCs w:val="24"/>
        </w:rPr>
        <w:t xml:space="preserve">: </w:t>
      </w:r>
      <w:r w:rsidR="002A7B49">
        <w:rPr>
          <w:b/>
          <w:sz w:val="24"/>
          <w:szCs w:val="24"/>
        </w:rPr>
        <w:t>Employability Expert</w:t>
      </w:r>
    </w:p>
    <w:p w:rsidR="00F2254A" w:rsidRPr="00F2254A" w:rsidRDefault="00F2254A" w:rsidP="00F2254A">
      <w:pPr>
        <w:autoSpaceDE w:val="0"/>
        <w:autoSpaceDN w:val="0"/>
        <w:adjustRightInd w:val="0"/>
        <w:rPr>
          <w:rFonts w:ascii="BritishCouncilSans-Light" w:eastAsia="Calibri" w:hAnsi="BritishCouncilSans-Light" w:cs="BritishCouncilSans-Light"/>
          <w:lang w:eastAsia="en-US"/>
        </w:rPr>
      </w:pPr>
    </w:p>
    <w:p w:rsidR="00F2254A" w:rsidRDefault="002A7B49" w:rsidP="00F2254A">
      <w:pPr>
        <w:autoSpaceDE w:val="0"/>
        <w:autoSpaceDN w:val="0"/>
        <w:adjustRightInd w:val="0"/>
        <w:rPr>
          <w:rFonts w:ascii="BritishCouncilSans-Light" w:eastAsia="Calibri" w:hAnsi="BritishCouncilSans-Light" w:cs="BritishCouncilSans-Light"/>
          <w:b/>
          <w:lang w:eastAsia="en-US"/>
        </w:rPr>
      </w:pPr>
      <w:r>
        <w:rPr>
          <w:b/>
          <w:color w:val="000000"/>
          <w:sz w:val="28"/>
          <w:szCs w:val="28"/>
        </w:rPr>
        <w:t>Employability report and toolkit</w:t>
      </w:r>
      <w:r w:rsidR="008D2520">
        <w:rPr>
          <w:b/>
          <w:color w:val="000000"/>
          <w:sz w:val="28"/>
          <w:szCs w:val="28"/>
        </w:rPr>
        <w:t xml:space="preserve"> - </w:t>
      </w:r>
      <w:r>
        <w:rPr>
          <w:b/>
          <w:color w:val="000000"/>
          <w:sz w:val="28"/>
          <w:szCs w:val="28"/>
        </w:rPr>
        <w:t>Skills</w:t>
      </w:r>
    </w:p>
    <w:p w:rsidR="00F2254A" w:rsidRDefault="00F2254A" w:rsidP="00BE2961">
      <w:pPr>
        <w:jc w:val="center"/>
        <w:rPr>
          <w:b/>
          <w:sz w:val="24"/>
          <w:szCs w:val="24"/>
        </w:rPr>
      </w:pPr>
      <w:bookmarkStart w:id="0" w:name="_GoBack"/>
    </w:p>
    <w:bookmarkEnd w:id="0"/>
    <w:p w:rsidR="00BE2961" w:rsidRDefault="00BE2961"/>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7"/>
        <w:gridCol w:w="7861"/>
      </w:tblGrid>
      <w:tr w:rsidR="00937949" w:rsidRPr="006E4112" w:rsidTr="003A1C36">
        <w:tc>
          <w:tcPr>
            <w:tcW w:w="1637" w:type="dxa"/>
          </w:tcPr>
          <w:p w:rsidR="00937949" w:rsidRPr="006E4112" w:rsidRDefault="00937949" w:rsidP="00E37AAE">
            <w:pPr>
              <w:rPr>
                <w:b/>
                <w:sz w:val="22"/>
                <w:szCs w:val="22"/>
              </w:rPr>
            </w:pPr>
            <w:r w:rsidRPr="006E4112">
              <w:rPr>
                <w:b/>
                <w:sz w:val="22"/>
                <w:szCs w:val="22"/>
              </w:rPr>
              <w:t>Date:</w:t>
            </w:r>
          </w:p>
        </w:tc>
        <w:tc>
          <w:tcPr>
            <w:tcW w:w="7861" w:type="dxa"/>
          </w:tcPr>
          <w:p w:rsidR="00FD71B9" w:rsidRPr="00D94587" w:rsidRDefault="00883760" w:rsidP="00883760">
            <w:pPr>
              <w:jc w:val="both"/>
              <w:rPr>
                <w:sz w:val="22"/>
                <w:szCs w:val="22"/>
              </w:rPr>
            </w:pPr>
            <w:r>
              <w:rPr>
                <w:sz w:val="22"/>
                <w:szCs w:val="22"/>
              </w:rPr>
              <w:t>1</w:t>
            </w:r>
            <w:r w:rsidRPr="00883760">
              <w:rPr>
                <w:sz w:val="22"/>
                <w:szCs w:val="22"/>
                <w:vertAlign w:val="superscript"/>
              </w:rPr>
              <w:t>st</w:t>
            </w:r>
            <w:r>
              <w:rPr>
                <w:sz w:val="22"/>
                <w:szCs w:val="22"/>
              </w:rPr>
              <w:t xml:space="preserve"> February</w:t>
            </w:r>
            <w:r w:rsidR="00930936">
              <w:rPr>
                <w:sz w:val="22"/>
                <w:szCs w:val="22"/>
              </w:rPr>
              <w:t xml:space="preserve"> 201</w:t>
            </w:r>
            <w:r>
              <w:rPr>
                <w:sz w:val="22"/>
                <w:szCs w:val="22"/>
              </w:rPr>
              <w:t>6</w:t>
            </w:r>
          </w:p>
        </w:tc>
      </w:tr>
      <w:tr w:rsidR="007B2306" w:rsidRPr="006E4112" w:rsidTr="00842D3E">
        <w:trPr>
          <w:trHeight w:val="11036"/>
        </w:trPr>
        <w:tc>
          <w:tcPr>
            <w:tcW w:w="1637" w:type="dxa"/>
          </w:tcPr>
          <w:p w:rsidR="004845E9" w:rsidRDefault="004845E9" w:rsidP="007B2306">
            <w:pPr>
              <w:rPr>
                <w:b/>
                <w:sz w:val="22"/>
                <w:szCs w:val="22"/>
              </w:rPr>
            </w:pPr>
          </w:p>
          <w:p w:rsidR="007B2306" w:rsidRPr="006556E5" w:rsidRDefault="007B2306" w:rsidP="007B2306">
            <w:pPr>
              <w:rPr>
                <w:sz w:val="22"/>
                <w:szCs w:val="22"/>
              </w:rPr>
            </w:pPr>
            <w:r w:rsidRPr="006556E5">
              <w:rPr>
                <w:b/>
                <w:sz w:val="22"/>
                <w:szCs w:val="22"/>
              </w:rPr>
              <w:t>Overview of the British Council</w:t>
            </w:r>
          </w:p>
          <w:p w:rsidR="007B2306" w:rsidRPr="006E4112" w:rsidRDefault="007B2306" w:rsidP="00E37AAE">
            <w:pPr>
              <w:rPr>
                <w:b/>
                <w:bCs/>
                <w:sz w:val="22"/>
                <w:szCs w:val="22"/>
              </w:rPr>
            </w:pPr>
          </w:p>
        </w:tc>
        <w:tc>
          <w:tcPr>
            <w:tcW w:w="7861" w:type="dxa"/>
          </w:tcPr>
          <w:p w:rsidR="004845E9" w:rsidRDefault="001B680E" w:rsidP="001B680E">
            <w:pPr>
              <w:tabs>
                <w:tab w:val="left" w:pos="7620"/>
              </w:tabs>
              <w:rPr>
                <w:sz w:val="22"/>
                <w:szCs w:val="22"/>
              </w:rPr>
            </w:pPr>
            <w:r>
              <w:rPr>
                <w:sz w:val="22"/>
                <w:szCs w:val="22"/>
              </w:rPr>
              <w:tab/>
            </w:r>
          </w:p>
          <w:p w:rsidR="00F549CD" w:rsidRDefault="007B2306" w:rsidP="007B2306">
            <w:pPr>
              <w:rPr>
                <w:sz w:val="22"/>
                <w:szCs w:val="22"/>
              </w:rPr>
            </w:pPr>
            <w:r w:rsidRPr="006556E5">
              <w:rPr>
                <w:sz w:val="22"/>
                <w:szCs w:val="22"/>
              </w:rPr>
              <w:t>The British Council is the United Kingdom’s international organisation for cultural relations and educational opportunities. Its purpose is to build engagement and trust for the UK through the exchange of knowledge and ideas between people worldwide.</w:t>
            </w:r>
            <w:r w:rsidR="005F0801">
              <w:t xml:space="preserve"> </w:t>
            </w:r>
            <w:r w:rsidR="005F0801" w:rsidRPr="005F0801">
              <w:rPr>
                <w:sz w:val="22"/>
                <w:szCs w:val="22"/>
              </w:rPr>
              <w:t>It seeks to achieve its aims by working in education, science, governance, Eng</w:t>
            </w:r>
            <w:r w:rsidR="00F549CD">
              <w:rPr>
                <w:sz w:val="22"/>
                <w:szCs w:val="22"/>
              </w:rPr>
              <w:t xml:space="preserve">lish and the arts. In 2013 14, its programmes, products and services reached a total audience of </w:t>
            </w:r>
            <w:r w:rsidR="00F549CD" w:rsidRPr="00F549CD">
              <w:rPr>
                <w:sz w:val="22"/>
                <w:szCs w:val="22"/>
              </w:rPr>
              <w:t>600 million people worldwide</w:t>
            </w:r>
            <w:r w:rsidR="00FA65B8">
              <w:rPr>
                <w:sz w:val="22"/>
                <w:szCs w:val="22"/>
              </w:rPr>
              <w:t>.</w:t>
            </w:r>
            <w:r w:rsidR="00121F68">
              <w:rPr>
                <w:sz w:val="22"/>
                <w:szCs w:val="22"/>
              </w:rPr>
              <w:t xml:space="preserve"> </w:t>
            </w:r>
            <w:r w:rsidR="00FA65B8">
              <w:rPr>
                <w:sz w:val="22"/>
                <w:szCs w:val="22"/>
              </w:rPr>
              <w:t xml:space="preserve"> </w:t>
            </w:r>
          </w:p>
          <w:p w:rsidR="00121F68" w:rsidRDefault="00121F68" w:rsidP="007B2306">
            <w:pPr>
              <w:rPr>
                <w:sz w:val="22"/>
                <w:szCs w:val="22"/>
              </w:rPr>
            </w:pPr>
          </w:p>
          <w:p w:rsidR="007B2306" w:rsidRPr="006556E5" w:rsidRDefault="007B2306" w:rsidP="007B2306">
            <w:pPr>
              <w:rPr>
                <w:sz w:val="22"/>
                <w:szCs w:val="22"/>
              </w:rPr>
            </w:pPr>
            <w:r w:rsidRPr="006556E5">
              <w:rPr>
                <w:sz w:val="22"/>
                <w:szCs w:val="22"/>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7B2306" w:rsidRPr="006556E5" w:rsidRDefault="007B2306" w:rsidP="007B2306">
            <w:pPr>
              <w:rPr>
                <w:sz w:val="22"/>
                <w:szCs w:val="22"/>
              </w:rPr>
            </w:pPr>
          </w:p>
          <w:p w:rsidR="007B2306" w:rsidRPr="006556E5" w:rsidRDefault="007B2306" w:rsidP="007B2306">
            <w:pPr>
              <w:rPr>
                <w:sz w:val="22"/>
                <w:szCs w:val="22"/>
              </w:rPr>
            </w:pPr>
            <w:r w:rsidRPr="006556E5">
              <w:rPr>
                <w:sz w:val="22"/>
                <w:szCs w:val="22"/>
              </w:rPr>
              <w:t>Its primary charitable objects are set out in the Charter and are stated to be:-</w:t>
            </w:r>
          </w:p>
          <w:p w:rsidR="007B2306" w:rsidRPr="006556E5" w:rsidRDefault="007B2306" w:rsidP="007B2306">
            <w:pPr>
              <w:ind w:left="360"/>
              <w:rPr>
                <w:sz w:val="22"/>
                <w:szCs w:val="22"/>
              </w:rPr>
            </w:pPr>
          </w:p>
          <w:p w:rsidR="00BF6F58" w:rsidRPr="00BF6F58" w:rsidRDefault="00BF6F58" w:rsidP="00837CC1">
            <w:pPr>
              <w:numPr>
                <w:ilvl w:val="1"/>
                <w:numId w:val="4"/>
              </w:numPr>
              <w:tabs>
                <w:tab w:val="clear" w:pos="1440"/>
                <w:tab w:val="num" w:pos="845"/>
              </w:tabs>
              <w:ind w:left="845" w:hanging="283"/>
              <w:jc w:val="both"/>
              <w:rPr>
                <w:sz w:val="22"/>
                <w:szCs w:val="22"/>
              </w:rPr>
            </w:pPr>
            <w:r>
              <w:rPr>
                <w:sz w:val="22"/>
                <w:szCs w:val="22"/>
              </w:rPr>
              <w:t>P</w:t>
            </w:r>
            <w:r w:rsidRPr="00BF6F58">
              <w:rPr>
                <w:sz w:val="22"/>
                <w:szCs w:val="22"/>
              </w:rPr>
              <w:t>romote cultural relationships and the understanding of different cultures between people and peoples of the United Kingdom and other countries;</w:t>
            </w:r>
          </w:p>
          <w:p w:rsidR="00BF6F58" w:rsidRPr="00BF6F58" w:rsidRDefault="00BF6F58" w:rsidP="00837CC1">
            <w:pPr>
              <w:numPr>
                <w:ilvl w:val="1"/>
                <w:numId w:val="4"/>
              </w:numPr>
              <w:tabs>
                <w:tab w:val="clear" w:pos="1440"/>
                <w:tab w:val="num" w:pos="845"/>
              </w:tabs>
              <w:ind w:left="845" w:hanging="283"/>
              <w:jc w:val="both"/>
              <w:rPr>
                <w:sz w:val="22"/>
                <w:szCs w:val="22"/>
              </w:rPr>
            </w:pPr>
            <w:r>
              <w:rPr>
                <w:sz w:val="22"/>
                <w:szCs w:val="22"/>
              </w:rPr>
              <w:t>P</w:t>
            </w:r>
            <w:r w:rsidRPr="00BF6F58">
              <w:rPr>
                <w:sz w:val="22"/>
                <w:szCs w:val="22"/>
              </w:rPr>
              <w:t xml:space="preserve">romote a wider knowledge of the United Kingdom; </w:t>
            </w:r>
          </w:p>
          <w:p w:rsidR="00BF6F58" w:rsidRPr="00BF6F58" w:rsidRDefault="00BF6F58" w:rsidP="00837CC1">
            <w:pPr>
              <w:numPr>
                <w:ilvl w:val="1"/>
                <w:numId w:val="4"/>
              </w:numPr>
              <w:tabs>
                <w:tab w:val="clear" w:pos="1440"/>
                <w:tab w:val="num" w:pos="845"/>
              </w:tabs>
              <w:ind w:left="845" w:hanging="283"/>
              <w:jc w:val="both"/>
              <w:rPr>
                <w:sz w:val="22"/>
                <w:szCs w:val="22"/>
              </w:rPr>
            </w:pPr>
            <w:r>
              <w:rPr>
                <w:sz w:val="22"/>
                <w:szCs w:val="22"/>
              </w:rPr>
              <w:t>D</w:t>
            </w:r>
            <w:r w:rsidRPr="00BF6F58">
              <w:rPr>
                <w:sz w:val="22"/>
                <w:szCs w:val="22"/>
              </w:rPr>
              <w:t>evelop a wider knowledge of the English language;</w:t>
            </w:r>
          </w:p>
          <w:p w:rsidR="00BF6F58" w:rsidRDefault="0009790A" w:rsidP="00837CC1">
            <w:pPr>
              <w:numPr>
                <w:ilvl w:val="1"/>
                <w:numId w:val="4"/>
              </w:numPr>
              <w:tabs>
                <w:tab w:val="clear" w:pos="1440"/>
                <w:tab w:val="num" w:pos="845"/>
              </w:tabs>
              <w:ind w:left="845" w:hanging="283"/>
              <w:jc w:val="both"/>
              <w:rPr>
                <w:sz w:val="22"/>
                <w:szCs w:val="22"/>
              </w:rPr>
            </w:pPr>
            <w:r>
              <w:rPr>
                <w:sz w:val="22"/>
                <w:szCs w:val="22"/>
              </w:rPr>
              <w:t>E</w:t>
            </w:r>
            <w:r w:rsidR="00BF6F58" w:rsidRPr="00BF6F58">
              <w:rPr>
                <w:sz w:val="22"/>
                <w:szCs w:val="22"/>
              </w:rPr>
              <w:t xml:space="preserve">ncourage cultural, scientific, technological and other educational co-operation between the United Kingdom and other countries; </w:t>
            </w:r>
          </w:p>
          <w:p w:rsidR="00F549CD" w:rsidRPr="00320393" w:rsidRDefault="00BF6F58" w:rsidP="00837CC1">
            <w:pPr>
              <w:numPr>
                <w:ilvl w:val="1"/>
                <w:numId w:val="4"/>
              </w:numPr>
              <w:tabs>
                <w:tab w:val="clear" w:pos="1440"/>
                <w:tab w:val="num" w:pos="845"/>
              </w:tabs>
              <w:ind w:left="845" w:hanging="283"/>
              <w:jc w:val="both"/>
              <w:rPr>
                <w:sz w:val="22"/>
                <w:szCs w:val="22"/>
              </w:rPr>
            </w:pPr>
            <w:r w:rsidRPr="00BF6F58">
              <w:rPr>
                <w:sz w:val="22"/>
                <w:szCs w:val="22"/>
              </w:rPr>
              <w:t>Otherwise promot</w:t>
            </w:r>
            <w:r w:rsidR="001D0DC9">
              <w:rPr>
                <w:sz w:val="22"/>
                <w:szCs w:val="22"/>
              </w:rPr>
              <w:t>e the advancement of education.</w:t>
            </w:r>
            <w:r w:rsidRPr="00BF6F58">
              <w:rPr>
                <w:sz w:val="22"/>
                <w:szCs w:val="22"/>
              </w:rPr>
              <w:t xml:space="preserve"> </w:t>
            </w:r>
          </w:p>
          <w:p w:rsidR="005F0801" w:rsidRPr="006556E5" w:rsidRDefault="005F0801" w:rsidP="007B2306">
            <w:pPr>
              <w:rPr>
                <w:sz w:val="22"/>
                <w:szCs w:val="22"/>
              </w:rPr>
            </w:pPr>
          </w:p>
          <w:p w:rsidR="000B01C5" w:rsidRDefault="007B2306" w:rsidP="00E37AAE">
            <w:pPr>
              <w:rPr>
                <w:sz w:val="22"/>
                <w:szCs w:val="22"/>
              </w:rPr>
            </w:pPr>
            <w:r w:rsidRPr="006556E5">
              <w:rPr>
                <w:sz w:val="22"/>
                <w:szCs w:val="22"/>
              </w:rPr>
              <w:t>The British Council works in more than 110 countries around the world and employs over 7000 staff worldwide.  It has its headquarters in the UK, with offices in London, Manchester, Belfast, Cardiff and Edinburgh.</w:t>
            </w:r>
          </w:p>
          <w:p w:rsidR="004845E9" w:rsidRDefault="004845E9" w:rsidP="00E37AAE">
            <w:pPr>
              <w:rPr>
                <w:sz w:val="22"/>
                <w:szCs w:val="22"/>
              </w:rPr>
            </w:pPr>
          </w:p>
          <w:p w:rsidR="00B07B87" w:rsidRPr="006E4112" w:rsidRDefault="00D94587" w:rsidP="00E37AAE">
            <w:pPr>
              <w:rPr>
                <w:sz w:val="22"/>
                <w:szCs w:val="22"/>
              </w:rPr>
            </w:pPr>
            <w:r>
              <w:rPr>
                <w:sz w:val="22"/>
                <w:szCs w:val="22"/>
              </w:rPr>
              <w:t xml:space="preserve">Further information can be found at </w:t>
            </w:r>
            <w:hyperlink r:id="rId13" w:history="1">
              <w:r w:rsidR="001B680E" w:rsidRPr="00932817">
                <w:rPr>
                  <w:rStyle w:val="Hyperlink"/>
                  <w:sz w:val="22"/>
                  <w:szCs w:val="22"/>
                </w:rPr>
                <w:t>www.britishcouncil.org</w:t>
              </w:r>
            </w:hyperlink>
          </w:p>
        </w:tc>
      </w:tr>
      <w:tr w:rsidR="00AD6BD5" w:rsidRPr="006E4112" w:rsidTr="003A1C36">
        <w:tc>
          <w:tcPr>
            <w:tcW w:w="1637" w:type="dxa"/>
          </w:tcPr>
          <w:p w:rsidR="00AD6BD5" w:rsidRDefault="00883760" w:rsidP="00E37AAE">
            <w:pPr>
              <w:rPr>
                <w:b/>
                <w:bCs/>
                <w:sz w:val="22"/>
                <w:szCs w:val="22"/>
              </w:rPr>
            </w:pPr>
            <w:r>
              <w:rPr>
                <w:b/>
                <w:bCs/>
                <w:sz w:val="22"/>
                <w:szCs w:val="22"/>
              </w:rPr>
              <w:t xml:space="preserve">Sector </w:t>
            </w:r>
            <w:r w:rsidR="00AD6BD5">
              <w:rPr>
                <w:b/>
                <w:bCs/>
                <w:sz w:val="22"/>
                <w:szCs w:val="22"/>
              </w:rPr>
              <w:t xml:space="preserve">Context </w:t>
            </w:r>
          </w:p>
        </w:tc>
        <w:tc>
          <w:tcPr>
            <w:tcW w:w="7861" w:type="dxa"/>
          </w:tcPr>
          <w:p w:rsidR="00AD6BD5" w:rsidRDefault="00AD6BD5" w:rsidP="00AD6BD5">
            <w:pPr>
              <w:autoSpaceDE w:val="0"/>
              <w:autoSpaceDN w:val="0"/>
              <w:adjustRightInd w:val="0"/>
              <w:rPr>
                <w:rFonts w:ascii="BritishCouncilSans-Light" w:eastAsia="Calibri" w:hAnsi="BritishCouncilSans-Light" w:cs="BritishCouncilSans-Light"/>
                <w:lang w:eastAsia="en-US"/>
              </w:rPr>
            </w:pPr>
          </w:p>
          <w:p w:rsidR="00AD6BD5" w:rsidRDefault="00883760" w:rsidP="00883760">
            <w:pPr>
              <w:autoSpaceDE w:val="0"/>
              <w:autoSpaceDN w:val="0"/>
              <w:adjustRightInd w:val="0"/>
              <w:rPr>
                <w:rFonts w:ascii="BritishCouncilSans-Light" w:eastAsia="Calibri" w:hAnsi="BritishCouncilSans-Light" w:cs="BritishCouncilSans-Light"/>
                <w:sz w:val="22"/>
                <w:szCs w:val="22"/>
                <w:lang w:eastAsia="en-US"/>
              </w:rPr>
            </w:pPr>
            <w:r w:rsidRPr="00883760">
              <w:rPr>
                <w:rFonts w:ascii="BritishCouncilSans-Light" w:eastAsia="Calibri" w:hAnsi="BritishCouncilSans-Light" w:cs="BritishCouncilSans-Light"/>
                <w:sz w:val="22"/>
                <w:szCs w:val="22"/>
                <w:lang w:eastAsia="en-US"/>
              </w:rPr>
              <w:t xml:space="preserve">Our work in skills development - including vocational and technical education </w:t>
            </w:r>
            <w:r w:rsidRPr="00883760">
              <w:rPr>
                <w:rFonts w:ascii="BritishCouncilSans-Light" w:eastAsia="Calibri" w:hAnsi="BritishCouncilSans-Light" w:cs="BritishCouncilSans-Light"/>
                <w:sz w:val="22"/>
                <w:szCs w:val="22"/>
                <w:lang w:eastAsia="en-US"/>
              </w:rPr>
              <w:lastRenderedPageBreak/>
              <w:t>and training, professional education and enterprise skills training –support</w:t>
            </w:r>
            <w:r>
              <w:rPr>
                <w:rFonts w:ascii="BritishCouncilSans-Light" w:eastAsia="Calibri" w:hAnsi="BritishCouncilSans-Light" w:cs="BritishCouncilSans-Light"/>
                <w:sz w:val="22"/>
                <w:szCs w:val="22"/>
                <w:lang w:eastAsia="en-US"/>
              </w:rPr>
              <w:t>s</w:t>
            </w:r>
            <w:r w:rsidRPr="00883760">
              <w:rPr>
                <w:rFonts w:ascii="BritishCouncilSans-Light" w:eastAsia="Calibri" w:hAnsi="BritishCouncilSans-Light" w:cs="BritishCouncilSans-Light"/>
                <w:sz w:val="22"/>
                <w:szCs w:val="22"/>
                <w:lang w:eastAsia="en-US"/>
              </w:rPr>
              <w:t xml:space="preserve"> prosperity for individuals and economies and promote</w:t>
            </w:r>
            <w:r>
              <w:rPr>
                <w:rFonts w:ascii="BritishCouncilSans-Light" w:eastAsia="Calibri" w:hAnsi="BritishCouncilSans-Light" w:cs="BritishCouncilSans-Light"/>
                <w:sz w:val="22"/>
                <w:szCs w:val="22"/>
                <w:lang w:eastAsia="en-US"/>
              </w:rPr>
              <w:t>s</w:t>
            </w:r>
            <w:r w:rsidRPr="00883760">
              <w:rPr>
                <w:rFonts w:ascii="BritishCouncilSans-Light" w:eastAsia="Calibri" w:hAnsi="BritishCouncilSans-Light" w:cs="BritishCouncilSans-Light"/>
                <w:sz w:val="22"/>
                <w:szCs w:val="22"/>
                <w:lang w:eastAsia="en-US"/>
              </w:rPr>
              <w:t xml:space="preserve"> stable societies. Through aligning skills development with the future needs of industry we help to bring about sustainable change. Through policy dialogue, the sharing of good practice, and promotion of new innovative approaches, products and initiatives in skills development, we support young people into employment or to create their own jobs.</w:t>
            </w:r>
          </w:p>
          <w:p w:rsidR="00731516" w:rsidRDefault="00731516" w:rsidP="00883760">
            <w:pPr>
              <w:autoSpaceDE w:val="0"/>
              <w:autoSpaceDN w:val="0"/>
              <w:adjustRightInd w:val="0"/>
              <w:rPr>
                <w:rFonts w:ascii="BritishCouncilSans-Light" w:eastAsia="Calibri" w:hAnsi="BritishCouncilSans-Light" w:cs="BritishCouncilSans-Light"/>
                <w:sz w:val="22"/>
                <w:szCs w:val="22"/>
                <w:lang w:eastAsia="en-US"/>
              </w:rPr>
            </w:pPr>
          </w:p>
          <w:p w:rsidR="00731516" w:rsidRPr="00C328AC" w:rsidRDefault="00731516" w:rsidP="00883760">
            <w:pPr>
              <w:autoSpaceDE w:val="0"/>
              <w:autoSpaceDN w:val="0"/>
              <w:adjustRightInd w:val="0"/>
              <w:rPr>
                <w:sz w:val="22"/>
                <w:szCs w:val="22"/>
              </w:rPr>
            </w:pPr>
          </w:p>
        </w:tc>
      </w:tr>
      <w:tr w:rsidR="00937949" w:rsidRPr="006E4112" w:rsidTr="003A1C36">
        <w:tc>
          <w:tcPr>
            <w:tcW w:w="1637" w:type="dxa"/>
          </w:tcPr>
          <w:p w:rsidR="00F50B8B" w:rsidRDefault="00F50B8B" w:rsidP="00E37AAE">
            <w:pPr>
              <w:rPr>
                <w:b/>
                <w:bCs/>
                <w:sz w:val="22"/>
                <w:szCs w:val="22"/>
              </w:rPr>
            </w:pPr>
          </w:p>
          <w:p w:rsidR="00180EA6" w:rsidRDefault="00937949" w:rsidP="00E37AAE">
            <w:pPr>
              <w:rPr>
                <w:b/>
                <w:bCs/>
                <w:sz w:val="22"/>
                <w:szCs w:val="22"/>
              </w:rPr>
            </w:pPr>
            <w:r w:rsidRPr="006E4112">
              <w:rPr>
                <w:b/>
                <w:bCs/>
                <w:sz w:val="22"/>
                <w:szCs w:val="22"/>
              </w:rPr>
              <w:t>Scope of work</w:t>
            </w:r>
            <w:r w:rsidR="000B01C5">
              <w:rPr>
                <w:b/>
                <w:bCs/>
                <w:sz w:val="22"/>
                <w:szCs w:val="22"/>
              </w:rPr>
              <w:t xml:space="preserve"> /Specification</w:t>
            </w:r>
          </w:p>
          <w:p w:rsidR="00937949" w:rsidRPr="006E4112" w:rsidRDefault="00180EA6" w:rsidP="00E37AAE">
            <w:pPr>
              <w:rPr>
                <w:b/>
                <w:bCs/>
                <w:sz w:val="22"/>
                <w:szCs w:val="22"/>
              </w:rPr>
            </w:pPr>
            <w:r>
              <w:rPr>
                <w:b/>
                <w:bCs/>
                <w:sz w:val="22"/>
                <w:szCs w:val="22"/>
              </w:rPr>
              <w:t>/Outputs</w:t>
            </w:r>
          </w:p>
          <w:p w:rsidR="00937949" w:rsidRPr="006E4112" w:rsidRDefault="00937949" w:rsidP="00E37AAE">
            <w:pPr>
              <w:rPr>
                <w:b/>
                <w:bCs/>
                <w:sz w:val="22"/>
                <w:szCs w:val="22"/>
              </w:rPr>
            </w:pPr>
          </w:p>
        </w:tc>
        <w:tc>
          <w:tcPr>
            <w:tcW w:w="7861" w:type="dxa"/>
          </w:tcPr>
          <w:p w:rsidR="00FA65B8" w:rsidRDefault="00FA65B8" w:rsidP="00FA65B8">
            <w:pPr>
              <w:jc w:val="both"/>
              <w:rPr>
                <w:color w:val="000000" w:themeColor="text1"/>
                <w:sz w:val="24"/>
                <w:szCs w:val="24"/>
              </w:rPr>
            </w:pPr>
          </w:p>
          <w:p w:rsidR="00731516" w:rsidRDefault="00731516" w:rsidP="00FA65B8">
            <w:pPr>
              <w:jc w:val="both"/>
              <w:rPr>
                <w:sz w:val="22"/>
                <w:szCs w:val="22"/>
              </w:rPr>
            </w:pPr>
            <w:r w:rsidRPr="000D35CF">
              <w:rPr>
                <w:sz w:val="22"/>
                <w:szCs w:val="22"/>
              </w:rPr>
              <w:t xml:space="preserve">Experience of working with the education and skills sector and more particularly on developing of training methodologies and delivery of training for young people is essential. Potential Consultants should also have a high degree of knowledge of innovative practice in employability programmes in the UK and should be able to identify and consult with the leading proponents through their own contacts. A high degree of objective judgement is required </w:t>
            </w:r>
            <w:r>
              <w:rPr>
                <w:sz w:val="22"/>
                <w:szCs w:val="22"/>
              </w:rPr>
              <w:t>as is</w:t>
            </w:r>
            <w:r w:rsidRPr="000D35CF">
              <w:rPr>
                <w:sz w:val="22"/>
                <w:szCs w:val="22"/>
              </w:rPr>
              <w:t xml:space="preserve"> a global outlook in how recommendations could be implemented</w:t>
            </w:r>
            <w:r>
              <w:rPr>
                <w:sz w:val="22"/>
                <w:szCs w:val="22"/>
              </w:rPr>
              <w:t>.</w:t>
            </w:r>
          </w:p>
          <w:p w:rsidR="00787054" w:rsidRDefault="00787054" w:rsidP="00FA65B8">
            <w:pPr>
              <w:jc w:val="both"/>
              <w:rPr>
                <w:sz w:val="22"/>
                <w:szCs w:val="22"/>
              </w:rPr>
            </w:pPr>
          </w:p>
          <w:p w:rsidR="00787054" w:rsidRDefault="00787054" w:rsidP="00FA65B8">
            <w:pPr>
              <w:jc w:val="both"/>
              <w:rPr>
                <w:sz w:val="22"/>
                <w:szCs w:val="22"/>
              </w:rPr>
            </w:pPr>
            <w:r>
              <w:rPr>
                <w:sz w:val="22"/>
                <w:szCs w:val="22"/>
              </w:rPr>
              <w:t>We are seeking to engage the services of a consultant for a maximum of 15 days to carry out the work as follows.</w:t>
            </w:r>
          </w:p>
          <w:p w:rsidR="00731516" w:rsidRDefault="00731516" w:rsidP="00FA65B8">
            <w:pPr>
              <w:jc w:val="both"/>
              <w:rPr>
                <w:sz w:val="22"/>
                <w:szCs w:val="22"/>
              </w:rPr>
            </w:pPr>
          </w:p>
          <w:p w:rsidR="00731516" w:rsidRPr="00731516" w:rsidRDefault="00731516" w:rsidP="00FA65B8">
            <w:pPr>
              <w:jc w:val="both"/>
              <w:rPr>
                <w:b/>
                <w:sz w:val="22"/>
                <w:szCs w:val="22"/>
              </w:rPr>
            </w:pPr>
            <w:r w:rsidRPr="00731516">
              <w:rPr>
                <w:b/>
                <w:sz w:val="22"/>
                <w:szCs w:val="22"/>
              </w:rPr>
              <w:t>Specification</w:t>
            </w:r>
          </w:p>
          <w:p w:rsidR="00731516" w:rsidRDefault="00731516" w:rsidP="00FA65B8">
            <w:pPr>
              <w:jc w:val="both"/>
              <w:rPr>
                <w:color w:val="000000" w:themeColor="text1"/>
                <w:sz w:val="24"/>
                <w:szCs w:val="24"/>
              </w:rPr>
            </w:pPr>
          </w:p>
          <w:p w:rsidR="00DE061C" w:rsidRPr="000D35CF" w:rsidRDefault="00DE061C" w:rsidP="00DE061C">
            <w:pPr>
              <w:rPr>
                <w:sz w:val="22"/>
                <w:szCs w:val="22"/>
              </w:rPr>
            </w:pPr>
            <w:r w:rsidRPr="000D35CF">
              <w:rPr>
                <w:sz w:val="22"/>
                <w:szCs w:val="22"/>
              </w:rPr>
              <w:t>Analyse innovative approaches and methodologies for designing and supporting delivery of training to young people that enhances their employability and to develop a toolkit to be used by British Council and its partners to support the design of future projects.</w:t>
            </w:r>
          </w:p>
          <w:p w:rsidR="00DE061C" w:rsidRPr="000D35CF" w:rsidRDefault="00DE061C" w:rsidP="00DE061C">
            <w:pPr>
              <w:rPr>
                <w:b/>
                <w:bCs/>
                <w:sz w:val="22"/>
                <w:szCs w:val="22"/>
              </w:rPr>
            </w:pPr>
          </w:p>
          <w:p w:rsidR="00DE061C" w:rsidRPr="000D35CF" w:rsidRDefault="00DE061C" w:rsidP="00DE061C">
            <w:pPr>
              <w:rPr>
                <w:b/>
                <w:bCs/>
                <w:sz w:val="22"/>
                <w:szCs w:val="22"/>
              </w:rPr>
            </w:pPr>
            <w:r w:rsidRPr="000D35CF">
              <w:rPr>
                <w:b/>
                <w:bCs/>
                <w:sz w:val="22"/>
                <w:szCs w:val="22"/>
              </w:rPr>
              <w:t>Tasks</w:t>
            </w:r>
          </w:p>
          <w:p w:rsidR="00DE061C" w:rsidRPr="000D35CF" w:rsidRDefault="00DE061C" w:rsidP="00DE061C">
            <w:pPr>
              <w:rPr>
                <w:b/>
                <w:bCs/>
                <w:sz w:val="22"/>
                <w:szCs w:val="22"/>
              </w:rPr>
            </w:pPr>
          </w:p>
          <w:p w:rsidR="00DE061C" w:rsidRPr="000D35CF" w:rsidRDefault="00DE061C" w:rsidP="00837CC1">
            <w:pPr>
              <w:numPr>
                <w:ilvl w:val="0"/>
                <w:numId w:val="10"/>
              </w:numPr>
              <w:jc w:val="both"/>
              <w:rPr>
                <w:sz w:val="22"/>
                <w:szCs w:val="22"/>
              </w:rPr>
            </w:pPr>
            <w:r>
              <w:rPr>
                <w:sz w:val="22"/>
                <w:szCs w:val="22"/>
              </w:rPr>
              <w:t>Propose a framework</w:t>
            </w:r>
            <w:r w:rsidRPr="000D35CF">
              <w:rPr>
                <w:sz w:val="22"/>
                <w:szCs w:val="22"/>
              </w:rPr>
              <w:t xml:space="preserve"> t</w:t>
            </w:r>
            <w:r>
              <w:rPr>
                <w:sz w:val="22"/>
                <w:szCs w:val="22"/>
              </w:rPr>
              <w:t xml:space="preserve">o help identify </w:t>
            </w:r>
            <w:r w:rsidRPr="000D35CF">
              <w:rPr>
                <w:sz w:val="22"/>
                <w:szCs w:val="22"/>
              </w:rPr>
              <w:t>good practices in</w:t>
            </w:r>
            <w:r w:rsidR="002A7B49">
              <w:rPr>
                <w:sz w:val="22"/>
                <w:szCs w:val="22"/>
              </w:rPr>
              <w:t xml:space="preserve"> the</w:t>
            </w:r>
            <w:r w:rsidRPr="000D35CF">
              <w:rPr>
                <w:sz w:val="22"/>
                <w:szCs w:val="22"/>
              </w:rPr>
              <w:t xml:space="preserve"> training of young people for enhancing their employability</w:t>
            </w:r>
          </w:p>
          <w:p w:rsidR="00DE061C" w:rsidRPr="000D35CF" w:rsidRDefault="00DE061C" w:rsidP="00837CC1">
            <w:pPr>
              <w:numPr>
                <w:ilvl w:val="0"/>
                <w:numId w:val="10"/>
              </w:numPr>
              <w:jc w:val="both"/>
              <w:rPr>
                <w:sz w:val="22"/>
                <w:szCs w:val="22"/>
              </w:rPr>
            </w:pPr>
            <w:r w:rsidRPr="000D35CF">
              <w:rPr>
                <w:bCs/>
                <w:sz w:val="22"/>
                <w:szCs w:val="22"/>
              </w:rPr>
              <w:t>Analyse innovative approaches and methodologies used by British Council and up to 5 UK Employers, Colleges or training providers, that has led to enhancing participants’ employability and produce case studies for each. This analysis should cover the following:</w:t>
            </w:r>
          </w:p>
          <w:p w:rsidR="00DE061C" w:rsidRPr="000D35CF" w:rsidRDefault="00DE061C" w:rsidP="00DE061C">
            <w:pPr>
              <w:jc w:val="both"/>
              <w:rPr>
                <w:bCs/>
              </w:rPr>
            </w:pPr>
          </w:p>
          <w:p w:rsidR="00DE061C" w:rsidRPr="000D35CF" w:rsidRDefault="00DE061C" w:rsidP="00837CC1">
            <w:pPr>
              <w:pStyle w:val="ListParagraph"/>
              <w:numPr>
                <w:ilvl w:val="0"/>
                <w:numId w:val="11"/>
              </w:numPr>
              <w:spacing w:after="0" w:line="240" w:lineRule="auto"/>
              <w:contextualSpacing w:val="0"/>
              <w:jc w:val="both"/>
              <w:rPr>
                <w:rFonts w:ascii="Arial" w:hAnsi="Arial" w:cs="Arial"/>
                <w:bCs/>
                <w:lang w:eastAsia="zh-CN"/>
              </w:rPr>
            </w:pPr>
            <w:r>
              <w:rPr>
                <w:rFonts w:ascii="Arial" w:hAnsi="Arial" w:cs="Arial"/>
                <w:bCs/>
                <w:lang w:eastAsia="zh-CN"/>
              </w:rPr>
              <w:t>t</w:t>
            </w:r>
            <w:r w:rsidRPr="000D35CF">
              <w:rPr>
                <w:rFonts w:ascii="Arial" w:hAnsi="Arial" w:cs="Arial"/>
                <w:bCs/>
                <w:lang w:eastAsia="zh-CN"/>
              </w:rPr>
              <w:t>arget group for the training</w:t>
            </w:r>
            <w:r>
              <w:rPr>
                <w:rFonts w:ascii="Arial" w:hAnsi="Arial" w:cs="Arial"/>
                <w:bCs/>
                <w:lang w:eastAsia="zh-CN"/>
              </w:rPr>
              <w:t>, e.g. NEETs, graduates, early school leavers</w:t>
            </w:r>
          </w:p>
          <w:p w:rsidR="00DE061C" w:rsidRPr="000D35CF" w:rsidRDefault="00DE061C" w:rsidP="00837CC1">
            <w:pPr>
              <w:pStyle w:val="ListParagraph"/>
              <w:numPr>
                <w:ilvl w:val="0"/>
                <w:numId w:val="11"/>
              </w:numPr>
              <w:spacing w:after="0" w:line="240" w:lineRule="auto"/>
              <w:contextualSpacing w:val="0"/>
              <w:jc w:val="both"/>
              <w:rPr>
                <w:rFonts w:ascii="Arial" w:hAnsi="Arial" w:cs="Arial"/>
                <w:bCs/>
                <w:lang w:eastAsia="zh-CN"/>
              </w:rPr>
            </w:pPr>
            <w:proofErr w:type="gramStart"/>
            <w:r w:rsidRPr="000D35CF">
              <w:rPr>
                <w:rFonts w:ascii="Arial" w:hAnsi="Arial" w:cs="Arial"/>
                <w:bCs/>
                <w:lang w:eastAsia="zh-CN"/>
              </w:rPr>
              <w:t>what</w:t>
            </w:r>
            <w:proofErr w:type="gramEnd"/>
            <w:r w:rsidRPr="000D35CF">
              <w:rPr>
                <w:rFonts w:ascii="Arial" w:hAnsi="Arial" w:cs="Arial"/>
                <w:bCs/>
                <w:lang w:eastAsia="zh-CN"/>
              </w:rPr>
              <w:t xml:space="preserve"> characteristics or key aspects the training should have and any wrap-around support to ensure it does contribute to an increased employability of participants</w:t>
            </w:r>
            <w:r>
              <w:rPr>
                <w:rFonts w:ascii="Arial" w:hAnsi="Arial" w:cs="Arial"/>
                <w:bCs/>
                <w:lang w:eastAsia="zh-CN"/>
              </w:rPr>
              <w:t>, e.g. career guidance, placements, confidence building activities etc.</w:t>
            </w:r>
          </w:p>
          <w:p w:rsidR="00DE061C" w:rsidRPr="0095347D" w:rsidRDefault="00DE061C" w:rsidP="00837CC1">
            <w:pPr>
              <w:pStyle w:val="ListParagraph"/>
              <w:numPr>
                <w:ilvl w:val="0"/>
                <w:numId w:val="11"/>
              </w:numPr>
              <w:spacing w:after="0" w:line="240" w:lineRule="auto"/>
              <w:contextualSpacing w:val="0"/>
              <w:jc w:val="both"/>
            </w:pPr>
            <w:r w:rsidRPr="000D35CF">
              <w:rPr>
                <w:rFonts w:ascii="Arial" w:hAnsi="Arial" w:cs="Arial"/>
                <w:bCs/>
                <w:lang w:eastAsia="zh-CN"/>
              </w:rPr>
              <w:t>how the training was monitored and evaluated to show impact on young people progress and achievements</w:t>
            </w:r>
          </w:p>
          <w:p w:rsidR="00DE061C" w:rsidRPr="000D35CF" w:rsidRDefault="00DE061C" w:rsidP="00837CC1">
            <w:pPr>
              <w:pStyle w:val="ListParagraph"/>
              <w:numPr>
                <w:ilvl w:val="0"/>
                <w:numId w:val="11"/>
              </w:numPr>
              <w:spacing w:after="0" w:line="240" w:lineRule="auto"/>
              <w:contextualSpacing w:val="0"/>
              <w:jc w:val="both"/>
            </w:pPr>
            <w:r>
              <w:rPr>
                <w:rFonts w:ascii="Arial" w:hAnsi="Arial" w:cs="Arial"/>
                <w:bCs/>
                <w:lang w:eastAsia="zh-CN"/>
              </w:rPr>
              <w:t>how to sustain the outcomes and maximise impact</w:t>
            </w:r>
          </w:p>
          <w:p w:rsidR="00DE061C" w:rsidRPr="000D35CF" w:rsidRDefault="00DE061C" w:rsidP="00837CC1">
            <w:pPr>
              <w:pStyle w:val="ListParagraph"/>
              <w:numPr>
                <w:ilvl w:val="0"/>
                <w:numId w:val="11"/>
              </w:numPr>
              <w:spacing w:after="0" w:line="240" w:lineRule="auto"/>
              <w:contextualSpacing w:val="0"/>
              <w:jc w:val="both"/>
            </w:pPr>
            <w:r w:rsidRPr="000D35CF">
              <w:rPr>
                <w:rFonts w:ascii="Arial" w:hAnsi="Arial" w:cs="Arial"/>
                <w:bCs/>
                <w:lang w:eastAsia="zh-CN"/>
              </w:rPr>
              <w:t>how these programmes can be applied overseas</w:t>
            </w:r>
          </w:p>
          <w:p w:rsidR="00DE061C" w:rsidRPr="000D35CF" w:rsidRDefault="00DE061C" w:rsidP="00837CC1">
            <w:pPr>
              <w:pStyle w:val="ListParagraph"/>
              <w:numPr>
                <w:ilvl w:val="0"/>
                <w:numId w:val="11"/>
              </w:numPr>
              <w:spacing w:after="0" w:line="240" w:lineRule="auto"/>
              <w:contextualSpacing w:val="0"/>
              <w:jc w:val="both"/>
            </w:pPr>
            <w:r w:rsidRPr="000D35CF">
              <w:rPr>
                <w:rFonts w:ascii="Arial" w:hAnsi="Arial" w:cs="Arial"/>
                <w:bCs/>
                <w:lang w:eastAsia="zh-CN"/>
              </w:rPr>
              <w:t>how we can learn from the training and link it to systemic changes</w:t>
            </w:r>
          </w:p>
          <w:p w:rsidR="00DE061C" w:rsidRPr="000D35CF" w:rsidRDefault="00DE061C" w:rsidP="00DE061C">
            <w:pPr>
              <w:pStyle w:val="ListParagraph"/>
              <w:ind w:left="1440"/>
              <w:jc w:val="both"/>
              <w:rPr>
                <w:rFonts w:ascii="Arial" w:hAnsi="Arial" w:cs="Arial"/>
                <w:bCs/>
                <w:lang w:eastAsia="zh-CN"/>
              </w:rPr>
            </w:pPr>
          </w:p>
          <w:p w:rsidR="00DE061C" w:rsidRPr="000D35CF" w:rsidRDefault="00DE061C" w:rsidP="00837CC1">
            <w:pPr>
              <w:numPr>
                <w:ilvl w:val="0"/>
                <w:numId w:val="10"/>
              </w:numPr>
              <w:jc w:val="both"/>
              <w:rPr>
                <w:sz w:val="22"/>
                <w:szCs w:val="22"/>
              </w:rPr>
            </w:pPr>
            <w:r w:rsidRPr="000D35CF">
              <w:rPr>
                <w:sz w:val="22"/>
                <w:szCs w:val="22"/>
              </w:rPr>
              <w:t>On the basis of data collected and best practices from across other UK or international organisations performed under Task 1 develop a toolkit for the British Council team and its partners to be used when designing and delivery of innovative training aiming to enhance the employability of young people. The toolkit should describe:</w:t>
            </w:r>
          </w:p>
          <w:p w:rsidR="00DE061C" w:rsidRPr="00DE061C" w:rsidRDefault="00DE061C" w:rsidP="00837CC1">
            <w:pPr>
              <w:pStyle w:val="ListParagraph"/>
              <w:numPr>
                <w:ilvl w:val="0"/>
                <w:numId w:val="12"/>
              </w:numPr>
              <w:spacing w:after="0" w:line="240" w:lineRule="auto"/>
              <w:contextualSpacing w:val="0"/>
              <w:jc w:val="both"/>
            </w:pPr>
            <w:r w:rsidRPr="000D35CF">
              <w:rPr>
                <w:rFonts w:ascii="Arial" w:hAnsi="Arial" w:cs="Arial"/>
                <w:bCs/>
                <w:lang w:eastAsia="zh-CN"/>
              </w:rPr>
              <w:t xml:space="preserve">key features the training should have to contribute in a tangible </w:t>
            </w:r>
            <w:r w:rsidRPr="000D35CF">
              <w:rPr>
                <w:rFonts w:ascii="Arial" w:hAnsi="Arial" w:cs="Arial"/>
                <w:bCs/>
                <w:lang w:eastAsia="zh-CN"/>
              </w:rPr>
              <w:lastRenderedPageBreak/>
              <w:t xml:space="preserve">manner to increased employability of different groups of </w:t>
            </w:r>
            <w:r w:rsidRPr="00DE061C">
              <w:rPr>
                <w:rFonts w:ascii="Arial" w:hAnsi="Arial" w:cs="Arial"/>
                <w:bCs/>
                <w:lang w:eastAsia="zh-CN"/>
              </w:rPr>
              <w:t>participants, including any support activities</w:t>
            </w:r>
          </w:p>
          <w:p w:rsidR="00DE061C" w:rsidRPr="00DE061C" w:rsidRDefault="00DE061C" w:rsidP="00837CC1">
            <w:pPr>
              <w:pStyle w:val="ListParagraph"/>
              <w:numPr>
                <w:ilvl w:val="0"/>
                <w:numId w:val="12"/>
              </w:numPr>
              <w:spacing w:after="0" w:line="240" w:lineRule="auto"/>
              <w:contextualSpacing w:val="0"/>
            </w:pPr>
            <w:proofErr w:type="gramStart"/>
            <w:r w:rsidRPr="00DE061C">
              <w:rPr>
                <w:rFonts w:ascii="Arial" w:hAnsi="Arial" w:cs="Arial"/>
                <w:bCs/>
                <w:lang w:eastAsia="zh-CN"/>
              </w:rPr>
              <w:t>a</w:t>
            </w:r>
            <w:proofErr w:type="gramEnd"/>
            <w:r w:rsidRPr="00DE061C">
              <w:rPr>
                <w:rFonts w:ascii="Arial" w:hAnsi="Arial" w:cs="Arial"/>
                <w:bCs/>
                <w:lang w:eastAsia="zh-CN"/>
              </w:rPr>
              <w:t xml:space="preserve"> methodology for monitoring and evaluating the training and its outcomes to ensure the training contributes to employability of participants and to the indicators set in the British Council Skills Framework.</w:t>
            </w:r>
          </w:p>
          <w:p w:rsidR="00DA5E44" w:rsidRPr="00DE061C" w:rsidRDefault="00DE061C" w:rsidP="00837CC1">
            <w:pPr>
              <w:pStyle w:val="ListParagraph"/>
              <w:numPr>
                <w:ilvl w:val="0"/>
                <w:numId w:val="12"/>
              </w:numPr>
              <w:spacing w:after="0" w:line="240" w:lineRule="auto"/>
              <w:contextualSpacing w:val="0"/>
            </w:pPr>
            <w:r w:rsidRPr="00DE061C">
              <w:rPr>
                <w:rFonts w:ascii="Arial" w:hAnsi="Arial" w:cs="Arial"/>
                <w:bCs/>
                <w:lang w:eastAsia="zh-CN"/>
              </w:rPr>
              <w:t>interventions British Council should make to apply this training approach effectively overseas</w:t>
            </w:r>
          </w:p>
          <w:p w:rsidR="00DE061C" w:rsidRDefault="00DE061C" w:rsidP="00DA5E44">
            <w:pPr>
              <w:rPr>
                <w:color w:val="FF0000"/>
                <w:sz w:val="22"/>
                <w:szCs w:val="22"/>
              </w:rPr>
            </w:pPr>
          </w:p>
          <w:p w:rsidR="00FA65B8" w:rsidRPr="00FA65B8" w:rsidRDefault="00FA65B8" w:rsidP="00FA65B8">
            <w:pPr>
              <w:rPr>
                <w:b/>
                <w:sz w:val="22"/>
                <w:szCs w:val="22"/>
              </w:rPr>
            </w:pPr>
            <w:r w:rsidRPr="00FA65B8">
              <w:rPr>
                <w:b/>
                <w:sz w:val="22"/>
                <w:szCs w:val="22"/>
              </w:rPr>
              <w:t>Funding</w:t>
            </w:r>
          </w:p>
          <w:p w:rsidR="00FA65B8" w:rsidRDefault="002A7B49" w:rsidP="00FA65B8">
            <w:pPr>
              <w:rPr>
                <w:sz w:val="22"/>
                <w:szCs w:val="22"/>
              </w:rPr>
            </w:pPr>
            <w:r w:rsidRPr="002A7B49">
              <w:rPr>
                <w:sz w:val="22"/>
                <w:szCs w:val="22"/>
              </w:rPr>
              <w:t>Support and guidance from the British Council will be provided to the Consultant undertaking this work. The British Council will cover the Consultant’s fee and related telephone costs agreed in advance.</w:t>
            </w:r>
          </w:p>
          <w:p w:rsidR="002A7B49" w:rsidRPr="00FA65B8" w:rsidRDefault="002A7B49" w:rsidP="00FA65B8">
            <w:pPr>
              <w:rPr>
                <w:sz w:val="22"/>
                <w:szCs w:val="22"/>
              </w:rPr>
            </w:pPr>
          </w:p>
          <w:p w:rsidR="00FA65B8" w:rsidRDefault="00DE061C" w:rsidP="00FA65B8">
            <w:pPr>
              <w:rPr>
                <w:b/>
                <w:sz w:val="22"/>
                <w:szCs w:val="22"/>
              </w:rPr>
            </w:pPr>
            <w:r>
              <w:rPr>
                <w:b/>
                <w:sz w:val="22"/>
                <w:szCs w:val="22"/>
              </w:rPr>
              <w:t>Outputs</w:t>
            </w:r>
          </w:p>
          <w:p w:rsidR="00DE061C" w:rsidRDefault="00DE061C" w:rsidP="00FA65B8">
            <w:pPr>
              <w:rPr>
                <w:b/>
                <w:sz w:val="22"/>
                <w:szCs w:val="22"/>
              </w:rPr>
            </w:pPr>
          </w:p>
          <w:p w:rsidR="00DE061C" w:rsidRPr="000D35CF" w:rsidRDefault="00DE061C" w:rsidP="00837CC1">
            <w:pPr>
              <w:numPr>
                <w:ilvl w:val="0"/>
                <w:numId w:val="13"/>
              </w:numPr>
              <w:rPr>
                <w:bCs/>
                <w:sz w:val="22"/>
                <w:szCs w:val="22"/>
              </w:rPr>
            </w:pPr>
            <w:r w:rsidRPr="000D35CF">
              <w:rPr>
                <w:bCs/>
                <w:sz w:val="22"/>
                <w:szCs w:val="22"/>
              </w:rPr>
              <w:t>A study</w:t>
            </w:r>
            <w:r w:rsidRPr="000D35CF">
              <w:rPr>
                <w:sz w:val="22"/>
                <w:szCs w:val="22"/>
              </w:rPr>
              <w:t xml:space="preserve"> that describes the approaches and methodologies used by high performing UK and/or international organisations for ensuring employability of young people has been enhanced as a result of their training. Expected length of the</w:t>
            </w:r>
            <w:r>
              <w:rPr>
                <w:sz w:val="22"/>
                <w:szCs w:val="22"/>
              </w:rPr>
              <w:t xml:space="preserve"> </w:t>
            </w:r>
            <w:r w:rsidRPr="000D35CF">
              <w:rPr>
                <w:sz w:val="22"/>
                <w:szCs w:val="22"/>
              </w:rPr>
              <w:t xml:space="preserve">study: </w:t>
            </w:r>
            <w:r>
              <w:rPr>
                <w:sz w:val="22"/>
                <w:szCs w:val="22"/>
              </w:rPr>
              <w:t xml:space="preserve">5 </w:t>
            </w:r>
            <w:r w:rsidRPr="000D35CF">
              <w:rPr>
                <w:sz w:val="22"/>
                <w:szCs w:val="22"/>
              </w:rPr>
              <w:t>-</w:t>
            </w:r>
            <w:r>
              <w:rPr>
                <w:sz w:val="22"/>
                <w:szCs w:val="22"/>
              </w:rPr>
              <w:t xml:space="preserve"> 8</w:t>
            </w:r>
            <w:r w:rsidRPr="000D35CF">
              <w:rPr>
                <w:sz w:val="22"/>
                <w:szCs w:val="22"/>
              </w:rPr>
              <w:t xml:space="preserve"> pages.</w:t>
            </w:r>
          </w:p>
          <w:p w:rsidR="00DE061C" w:rsidRPr="000D35CF" w:rsidRDefault="00DE061C" w:rsidP="00DE061C">
            <w:pPr>
              <w:ind w:left="720"/>
              <w:rPr>
                <w:bCs/>
                <w:sz w:val="22"/>
                <w:szCs w:val="22"/>
              </w:rPr>
            </w:pPr>
          </w:p>
          <w:p w:rsidR="00DE061C" w:rsidRPr="000D35CF" w:rsidRDefault="00DE061C" w:rsidP="00837CC1">
            <w:pPr>
              <w:numPr>
                <w:ilvl w:val="0"/>
                <w:numId w:val="13"/>
              </w:numPr>
              <w:rPr>
                <w:b/>
                <w:bCs/>
                <w:sz w:val="22"/>
                <w:szCs w:val="22"/>
              </w:rPr>
            </w:pPr>
            <w:r w:rsidRPr="000D35CF">
              <w:rPr>
                <w:bCs/>
                <w:sz w:val="22"/>
                <w:szCs w:val="22"/>
              </w:rPr>
              <w:t xml:space="preserve">A toolkit (methodology) for British Council team and its partners </w:t>
            </w:r>
            <w:r w:rsidRPr="000D35CF">
              <w:rPr>
                <w:sz w:val="22"/>
                <w:szCs w:val="22"/>
              </w:rPr>
              <w:t>to be used when designing and delivering innovative training aiming to enhance the employability of young people.</w:t>
            </w:r>
          </w:p>
          <w:p w:rsidR="00DE061C" w:rsidRPr="00FA65B8" w:rsidRDefault="00DE061C" w:rsidP="00FA65B8">
            <w:pPr>
              <w:rPr>
                <w:b/>
                <w:sz w:val="22"/>
                <w:szCs w:val="22"/>
              </w:rPr>
            </w:pPr>
          </w:p>
          <w:p w:rsidR="00A732BC" w:rsidRDefault="00A732BC" w:rsidP="00DA5E44">
            <w:pPr>
              <w:rPr>
                <w:color w:val="FF0000"/>
                <w:sz w:val="22"/>
                <w:szCs w:val="22"/>
              </w:rPr>
            </w:pPr>
          </w:p>
          <w:p w:rsidR="00276A84" w:rsidRPr="00276A84" w:rsidRDefault="00276A84" w:rsidP="00DA5E44">
            <w:pPr>
              <w:rPr>
                <w:b/>
                <w:sz w:val="22"/>
                <w:szCs w:val="22"/>
              </w:rPr>
            </w:pPr>
            <w:r w:rsidRPr="00276A84">
              <w:rPr>
                <w:b/>
                <w:sz w:val="22"/>
                <w:szCs w:val="22"/>
              </w:rPr>
              <w:t>Timetable</w:t>
            </w:r>
          </w:p>
          <w:p w:rsidR="00DA5E44" w:rsidRDefault="00DE061C" w:rsidP="000917F4">
            <w:pPr>
              <w:autoSpaceDE w:val="0"/>
              <w:autoSpaceDN w:val="0"/>
              <w:adjustRightInd w:val="0"/>
              <w:ind w:left="3587" w:hanging="3587"/>
              <w:rPr>
                <w:sz w:val="22"/>
                <w:szCs w:val="22"/>
                <w:lang w:eastAsia="en-GB"/>
              </w:rPr>
            </w:pPr>
            <w:r>
              <w:rPr>
                <w:sz w:val="22"/>
                <w:szCs w:val="22"/>
                <w:lang w:eastAsia="en-GB"/>
              </w:rPr>
              <w:t>February 22</w:t>
            </w:r>
            <w:r w:rsidRPr="00DE061C">
              <w:rPr>
                <w:sz w:val="22"/>
                <w:szCs w:val="22"/>
                <w:vertAlign w:val="superscript"/>
                <w:lang w:eastAsia="en-GB"/>
              </w:rPr>
              <w:t>nd</w:t>
            </w:r>
            <w:r>
              <w:rPr>
                <w:sz w:val="22"/>
                <w:szCs w:val="22"/>
                <w:lang w:eastAsia="en-GB"/>
              </w:rPr>
              <w:t xml:space="preserve"> </w:t>
            </w:r>
            <w:r w:rsidR="00070D60">
              <w:rPr>
                <w:sz w:val="22"/>
                <w:szCs w:val="22"/>
                <w:lang w:eastAsia="en-GB"/>
              </w:rPr>
              <w:t xml:space="preserve"> </w:t>
            </w:r>
            <w:r w:rsidR="00DA5E44" w:rsidRPr="00DA5E44">
              <w:rPr>
                <w:sz w:val="22"/>
                <w:szCs w:val="22"/>
                <w:lang w:eastAsia="en-GB"/>
              </w:rPr>
              <w:t xml:space="preserve"> </w:t>
            </w:r>
            <w:r w:rsidR="00DA5E44" w:rsidRPr="00DA5E44">
              <w:rPr>
                <w:sz w:val="22"/>
                <w:szCs w:val="22"/>
                <w:lang w:eastAsia="en-GB"/>
              </w:rPr>
              <w:tab/>
            </w:r>
            <w:r>
              <w:rPr>
                <w:sz w:val="22"/>
                <w:szCs w:val="22"/>
                <w:lang w:eastAsia="en-GB"/>
              </w:rPr>
              <w:t>Begin study and liaise with key stakeholders</w:t>
            </w:r>
          </w:p>
          <w:p w:rsidR="00070D60" w:rsidRPr="00DA5E44" w:rsidRDefault="00070D60" w:rsidP="000917F4">
            <w:pPr>
              <w:autoSpaceDE w:val="0"/>
              <w:autoSpaceDN w:val="0"/>
              <w:adjustRightInd w:val="0"/>
              <w:ind w:left="3587" w:hanging="3587"/>
              <w:rPr>
                <w:sz w:val="22"/>
                <w:szCs w:val="22"/>
                <w:lang w:eastAsia="en-GB"/>
              </w:rPr>
            </w:pPr>
          </w:p>
          <w:p w:rsidR="00DA5E44" w:rsidRPr="00DA5E44" w:rsidRDefault="00DE061C" w:rsidP="00607B23">
            <w:pPr>
              <w:tabs>
                <w:tab w:val="left" w:pos="2835"/>
              </w:tabs>
              <w:autoSpaceDE w:val="0"/>
              <w:autoSpaceDN w:val="0"/>
              <w:adjustRightInd w:val="0"/>
              <w:rPr>
                <w:sz w:val="22"/>
                <w:szCs w:val="22"/>
                <w:lang w:eastAsia="en-GB"/>
              </w:rPr>
            </w:pPr>
            <w:r>
              <w:rPr>
                <w:sz w:val="22"/>
                <w:szCs w:val="22"/>
                <w:lang w:eastAsia="en-GB"/>
              </w:rPr>
              <w:t>March 18</w:t>
            </w:r>
            <w:r w:rsidRPr="00DE061C">
              <w:rPr>
                <w:sz w:val="22"/>
                <w:szCs w:val="22"/>
                <w:vertAlign w:val="superscript"/>
                <w:lang w:eastAsia="en-GB"/>
              </w:rPr>
              <w:t>th</w:t>
            </w:r>
            <w:r>
              <w:rPr>
                <w:sz w:val="22"/>
                <w:szCs w:val="22"/>
                <w:lang w:eastAsia="en-GB"/>
              </w:rPr>
              <w:t xml:space="preserve"> </w:t>
            </w:r>
            <w:r w:rsidR="00DA5E44" w:rsidRPr="00DA5E44">
              <w:rPr>
                <w:sz w:val="22"/>
                <w:szCs w:val="22"/>
                <w:lang w:eastAsia="en-GB"/>
              </w:rPr>
              <w:tab/>
            </w:r>
            <w:r w:rsidR="00607B23">
              <w:rPr>
                <w:sz w:val="22"/>
                <w:szCs w:val="22"/>
                <w:lang w:eastAsia="en-GB"/>
              </w:rPr>
              <w:t xml:space="preserve">            </w:t>
            </w:r>
            <w:r>
              <w:rPr>
                <w:sz w:val="22"/>
                <w:szCs w:val="22"/>
                <w:lang w:eastAsia="en-GB"/>
              </w:rPr>
              <w:t>Submit Draft study and toolkit to BC</w:t>
            </w:r>
          </w:p>
          <w:p w:rsidR="00DA5E44" w:rsidRPr="00DA5E44" w:rsidRDefault="00DA5E44" w:rsidP="00DA5E44">
            <w:pPr>
              <w:tabs>
                <w:tab w:val="left" w:pos="2835"/>
              </w:tabs>
              <w:autoSpaceDE w:val="0"/>
              <w:autoSpaceDN w:val="0"/>
              <w:adjustRightInd w:val="0"/>
              <w:rPr>
                <w:sz w:val="22"/>
                <w:szCs w:val="22"/>
                <w:lang w:eastAsia="en-GB"/>
              </w:rPr>
            </w:pPr>
            <w:r w:rsidRPr="00DA5E44">
              <w:rPr>
                <w:sz w:val="22"/>
                <w:szCs w:val="22"/>
                <w:lang w:eastAsia="en-GB"/>
              </w:rPr>
              <w:tab/>
              <w:t xml:space="preserve"> </w:t>
            </w:r>
          </w:p>
          <w:p w:rsidR="00DA5E44" w:rsidRPr="00DA5E44" w:rsidRDefault="00DE061C" w:rsidP="00607B23">
            <w:pPr>
              <w:ind w:left="3538" w:hanging="3538"/>
              <w:rPr>
                <w:color w:val="FF0000"/>
                <w:sz w:val="22"/>
                <w:szCs w:val="22"/>
              </w:rPr>
            </w:pPr>
            <w:r>
              <w:rPr>
                <w:sz w:val="22"/>
                <w:szCs w:val="22"/>
                <w:lang w:eastAsia="en-GB"/>
              </w:rPr>
              <w:t>March 25</w:t>
            </w:r>
            <w:r w:rsidRPr="00DE061C">
              <w:rPr>
                <w:sz w:val="22"/>
                <w:szCs w:val="22"/>
                <w:vertAlign w:val="superscript"/>
                <w:lang w:eastAsia="en-GB"/>
              </w:rPr>
              <w:t>th</w:t>
            </w:r>
            <w:r w:rsidR="00607B23">
              <w:rPr>
                <w:sz w:val="22"/>
                <w:szCs w:val="22"/>
                <w:lang w:eastAsia="en-GB"/>
              </w:rPr>
              <w:tab/>
            </w:r>
            <w:r>
              <w:rPr>
                <w:sz w:val="22"/>
                <w:szCs w:val="22"/>
                <w:lang w:eastAsia="en-GB"/>
              </w:rPr>
              <w:t>Submit final outputs.</w:t>
            </w:r>
          </w:p>
          <w:p w:rsidR="00775D67" w:rsidRPr="00775D67" w:rsidRDefault="00775D67" w:rsidP="00775D67">
            <w:pPr>
              <w:ind w:left="720"/>
              <w:rPr>
                <w:color w:val="FF0000"/>
                <w:sz w:val="22"/>
                <w:szCs w:val="22"/>
              </w:rPr>
            </w:pPr>
          </w:p>
          <w:p w:rsidR="00DE6D36" w:rsidRDefault="00DE6D36" w:rsidP="00775D67">
            <w:pPr>
              <w:rPr>
                <w:b/>
                <w:sz w:val="22"/>
                <w:szCs w:val="22"/>
              </w:rPr>
            </w:pPr>
            <w:r w:rsidRPr="00DE6D36">
              <w:rPr>
                <w:b/>
                <w:sz w:val="22"/>
                <w:szCs w:val="22"/>
              </w:rPr>
              <w:t>Expertise</w:t>
            </w:r>
          </w:p>
          <w:p w:rsidR="00775D67" w:rsidRPr="00824E5F" w:rsidRDefault="00276A84" w:rsidP="00775D67">
            <w:pPr>
              <w:rPr>
                <w:sz w:val="22"/>
                <w:szCs w:val="22"/>
              </w:rPr>
            </w:pPr>
            <w:r w:rsidRPr="00824E5F">
              <w:rPr>
                <w:sz w:val="22"/>
                <w:szCs w:val="22"/>
              </w:rPr>
              <w:t>The supplier must possess the</w:t>
            </w:r>
            <w:r w:rsidR="00775D67" w:rsidRPr="00824E5F">
              <w:rPr>
                <w:sz w:val="22"/>
                <w:szCs w:val="22"/>
              </w:rPr>
              <w:t xml:space="preserve"> relevant expertise to deliver the required services</w:t>
            </w:r>
            <w:r w:rsidRPr="00824E5F">
              <w:rPr>
                <w:sz w:val="22"/>
                <w:szCs w:val="22"/>
              </w:rPr>
              <w:t>, including</w:t>
            </w:r>
            <w:r w:rsidR="00775D67" w:rsidRPr="00824E5F">
              <w:rPr>
                <w:sz w:val="22"/>
                <w:szCs w:val="22"/>
              </w:rPr>
              <w:t>:</w:t>
            </w:r>
          </w:p>
          <w:p w:rsidR="00FF5C4F" w:rsidRPr="00824E5F" w:rsidRDefault="00FF5C4F" w:rsidP="00775D67">
            <w:pPr>
              <w:rPr>
                <w:sz w:val="22"/>
                <w:szCs w:val="22"/>
              </w:rPr>
            </w:pPr>
          </w:p>
          <w:p w:rsidR="00276A84" w:rsidRPr="00824E5F" w:rsidRDefault="00824E5F" w:rsidP="00837CC1">
            <w:pPr>
              <w:numPr>
                <w:ilvl w:val="0"/>
                <w:numId w:val="5"/>
              </w:numPr>
              <w:rPr>
                <w:sz w:val="22"/>
                <w:szCs w:val="22"/>
              </w:rPr>
            </w:pPr>
            <w:r w:rsidRPr="00824E5F">
              <w:rPr>
                <w:sz w:val="22"/>
                <w:szCs w:val="22"/>
              </w:rPr>
              <w:t>Working k</w:t>
            </w:r>
            <w:r w:rsidR="00276A84" w:rsidRPr="00824E5F">
              <w:rPr>
                <w:sz w:val="22"/>
                <w:szCs w:val="22"/>
              </w:rPr>
              <w:t>nowledge and expe</w:t>
            </w:r>
            <w:r w:rsidR="00453EC1" w:rsidRPr="00824E5F">
              <w:rPr>
                <w:sz w:val="22"/>
                <w:szCs w:val="22"/>
              </w:rPr>
              <w:t xml:space="preserve">rience of </w:t>
            </w:r>
            <w:r w:rsidR="00F517C9" w:rsidRPr="00824E5F">
              <w:rPr>
                <w:sz w:val="22"/>
                <w:szCs w:val="22"/>
              </w:rPr>
              <w:t>UK</w:t>
            </w:r>
            <w:r w:rsidRPr="00824E5F">
              <w:rPr>
                <w:sz w:val="22"/>
                <w:szCs w:val="22"/>
              </w:rPr>
              <w:t xml:space="preserve"> </w:t>
            </w:r>
            <w:r w:rsidR="001D0616">
              <w:rPr>
                <w:sz w:val="22"/>
                <w:szCs w:val="22"/>
              </w:rPr>
              <w:t xml:space="preserve">national </w:t>
            </w:r>
            <w:r w:rsidRPr="00824E5F">
              <w:rPr>
                <w:sz w:val="22"/>
                <w:szCs w:val="22"/>
              </w:rPr>
              <w:t xml:space="preserve">skills </w:t>
            </w:r>
            <w:r w:rsidR="001D0616">
              <w:rPr>
                <w:sz w:val="22"/>
                <w:szCs w:val="22"/>
              </w:rPr>
              <w:t>system and sector</w:t>
            </w:r>
            <w:r w:rsidR="00DE5305" w:rsidRPr="00824E5F">
              <w:rPr>
                <w:sz w:val="22"/>
                <w:szCs w:val="22"/>
              </w:rPr>
              <w:t>.</w:t>
            </w:r>
          </w:p>
          <w:p w:rsidR="00DE061C" w:rsidRDefault="00027785" w:rsidP="00837CC1">
            <w:pPr>
              <w:numPr>
                <w:ilvl w:val="0"/>
                <w:numId w:val="5"/>
              </w:numPr>
              <w:rPr>
                <w:sz w:val="22"/>
                <w:szCs w:val="22"/>
              </w:rPr>
            </w:pPr>
            <w:r>
              <w:rPr>
                <w:sz w:val="22"/>
                <w:szCs w:val="22"/>
              </w:rPr>
              <w:t>K</w:t>
            </w:r>
            <w:r w:rsidR="00276A84" w:rsidRPr="00824E5F">
              <w:rPr>
                <w:sz w:val="22"/>
                <w:szCs w:val="22"/>
              </w:rPr>
              <w:t xml:space="preserve">nowledge and experience of </w:t>
            </w:r>
            <w:r>
              <w:rPr>
                <w:sz w:val="22"/>
                <w:szCs w:val="22"/>
              </w:rPr>
              <w:t xml:space="preserve">best practice in </w:t>
            </w:r>
            <w:r w:rsidR="00DE061C">
              <w:rPr>
                <w:sz w:val="22"/>
                <w:szCs w:val="22"/>
              </w:rPr>
              <w:t>employability programmes and teaching</w:t>
            </w:r>
            <w:r>
              <w:rPr>
                <w:sz w:val="22"/>
                <w:szCs w:val="22"/>
              </w:rPr>
              <w:t>.</w:t>
            </w:r>
          </w:p>
          <w:p w:rsidR="00276A84" w:rsidRDefault="00DE061C" w:rsidP="00837CC1">
            <w:pPr>
              <w:numPr>
                <w:ilvl w:val="0"/>
                <w:numId w:val="5"/>
              </w:numPr>
              <w:rPr>
                <w:sz w:val="22"/>
                <w:szCs w:val="22"/>
              </w:rPr>
            </w:pPr>
            <w:r>
              <w:rPr>
                <w:sz w:val="22"/>
                <w:szCs w:val="22"/>
              </w:rPr>
              <w:t>Comprehensive understanding of current training programmes in the UK aimed at improving employability.</w:t>
            </w:r>
            <w:r w:rsidR="00027785">
              <w:rPr>
                <w:sz w:val="22"/>
                <w:szCs w:val="22"/>
              </w:rPr>
              <w:t xml:space="preserve"> </w:t>
            </w:r>
          </w:p>
          <w:p w:rsidR="001D0616" w:rsidRPr="00824E5F" w:rsidRDefault="00930936" w:rsidP="00837CC1">
            <w:pPr>
              <w:numPr>
                <w:ilvl w:val="0"/>
                <w:numId w:val="5"/>
              </w:numPr>
              <w:rPr>
                <w:sz w:val="22"/>
                <w:szCs w:val="22"/>
              </w:rPr>
            </w:pPr>
            <w:r>
              <w:rPr>
                <w:sz w:val="22"/>
                <w:szCs w:val="22"/>
              </w:rPr>
              <w:t>It is desirable to have a w</w:t>
            </w:r>
            <w:r w:rsidR="001D0616">
              <w:rPr>
                <w:sz w:val="22"/>
                <w:szCs w:val="22"/>
              </w:rPr>
              <w:t xml:space="preserve">orking knowledge and experience employment and skills agenda </w:t>
            </w:r>
            <w:r w:rsidR="00DE061C">
              <w:rPr>
                <w:sz w:val="22"/>
                <w:szCs w:val="22"/>
              </w:rPr>
              <w:t>globally</w:t>
            </w:r>
          </w:p>
          <w:p w:rsidR="00775D67" w:rsidRPr="00824E5F" w:rsidRDefault="00775D67" w:rsidP="00837CC1">
            <w:pPr>
              <w:numPr>
                <w:ilvl w:val="0"/>
                <w:numId w:val="5"/>
              </w:numPr>
              <w:rPr>
                <w:sz w:val="22"/>
                <w:szCs w:val="22"/>
              </w:rPr>
            </w:pPr>
            <w:r w:rsidRPr="00824E5F">
              <w:rPr>
                <w:sz w:val="22"/>
                <w:szCs w:val="22"/>
              </w:rPr>
              <w:t xml:space="preserve">Experience of </w:t>
            </w:r>
            <w:r w:rsidR="00457D42" w:rsidRPr="00824E5F">
              <w:rPr>
                <w:sz w:val="22"/>
                <w:szCs w:val="22"/>
              </w:rPr>
              <w:t xml:space="preserve">delivering </w:t>
            </w:r>
            <w:r w:rsidRPr="00824E5F">
              <w:rPr>
                <w:sz w:val="22"/>
                <w:szCs w:val="22"/>
              </w:rPr>
              <w:t>similar service</w:t>
            </w:r>
            <w:r w:rsidR="00276A84" w:rsidRPr="00824E5F">
              <w:rPr>
                <w:sz w:val="22"/>
                <w:szCs w:val="22"/>
              </w:rPr>
              <w:t>s, with similar audiences</w:t>
            </w:r>
            <w:r w:rsidR="00D23081">
              <w:rPr>
                <w:sz w:val="22"/>
                <w:szCs w:val="22"/>
              </w:rPr>
              <w:t>.</w:t>
            </w:r>
          </w:p>
          <w:p w:rsidR="00775D67" w:rsidRPr="00824E5F" w:rsidRDefault="002121E9" w:rsidP="00837CC1">
            <w:pPr>
              <w:numPr>
                <w:ilvl w:val="0"/>
                <w:numId w:val="5"/>
              </w:numPr>
              <w:rPr>
                <w:sz w:val="22"/>
                <w:szCs w:val="22"/>
              </w:rPr>
            </w:pPr>
            <w:r w:rsidRPr="002121E9">
              <w:rPr>
                <w:sz w:val="22"/>
                <w:szCs w:val="22"/>
              </w:rPr>
              <w:t>Understanding of the purpose of the British Council, and our work in Skills and Employability</w:t>
            </w:r>
            <w:r w:rsidR="00D23081">
              <w:rPr>
                <w:sz w:val="22"/>
                <w:szCs w:val="22"/>
              </w:rPr>
              <w:t>.</w:t>
            </w:r>
            <w:r w:rsidR="00775D67" w:rsidRPr="00824E5F">
              <w:rPr>
                <w:sz w:val="22"/>
                <w:szCs w:val="22"/>
              </w:rPr>
              <w:t xml:space="preserve">  </w:t>
            </w:r>
          </w:p>
          <w:p w:rsidR="007375A1" w:rsidRPr="00824E5F" w:rsidRDefault="007375A1" w:rsidP="007375A1">
            <w:pPr>
              <w:rPr>
                <w:sz w:val="22"/>
                <w:szCs w:val="22"/>
              </w:rPr>
            </w:pPr>
          </w:p>
          <w:p w:rsidR="00027785" w:rsidRPr="004A4530" w:rsidRDefault="00027785" w:rsidP="00DE061C"/>
        </w:tc>
      </w:tr>
      <w:tr w:rsidR="00961E5E" w:rsidRPr="006E4112" w:rsidTr="003A1C36">
        <w:tc>
          <w:tcPr>
            <w:tcW w:w="1637" w:type="dxa"/>
          </w:tcPr>
          <w:p w:rsidR="009F07BD" w:rsidRDefault="009F07BD" w:rsidP="003E2001">
            <w:pPr>
              <w:jc w:val="both"/>
              <w:rPr>
                <w:b/>
                <w:bCs/>
                <w:sz w:val="22"/>
                <w:szCs w:val="22"/>
              </w:rPr>
            </w:pPr>
          </w:p>
          <w:p w:rsidR="00961E5E" w:rsidRPr="006E4112" w:rsidRDefault="00961E5E" w:rsidP="00997195">
            <w:pPr>
              <w:jc w:val="both"/>
              <w:rPr>
                <w:b/>
                <w:bCs/>
                <w:sz w:val="22"/>
                <w:szCs w:val="22"/>
              </w:rPr>
            </w:pPr>
            <w:r w:rsidRPr="006E4112">
              <w:rPr>
                <w:b/>
                <w:bCs/>
                <w:sz w:val="22"/>
                <w:szCs w:val="22"/>
              </w:rPr>
              <w:t>Key Backgroun</w:t>
            </w:r>
            <w:r w:rsidR="008F1481">
              <w:rPr>
                <w:b/>
                <w:bCs/>
                <w:sz w:val="22"/>
                <w:szCs w:val="22"/>
              </w:rPr>
              <w:t>d</w:t>
            </w:r>
            <w:r w:rsidR="007B2306">
              <w:rPr>
                <w:b/>
                <w:bCs/>
                <w:sz w:val="22"/>
                <w:szCs w:val="22"/>
              </w:rPr>
              <w:t xml:space="preserve"> Information</w:t>
            </w:r>
            <w:r w:rsidRPr="006E4112">
              <w:rPr>
                <w:b/>
                <w:bCs/>
                <w:sz w:val="22"/>
                <w:szCs w:val="22"/>
              </w:rPr>
              <w:t>:</w:t>
            </w:r>
          </w:p>
        </w:tc>
        <w:tc>
          <w:tcPr>
            <w:tcW w:w="7861" w:type="dxa"/>
          </w:tcPr>
          <w:p w:rsidR="007375A1" w:rsidRPr="00C328AC" w:rsidRDefault="007375A1" w:rsidP="007375A1">
            <w:pPr>
              <w:rPr>
                <w:sz w:val="22"/>
                <w:szCs w:val="22"/>
              </w:rPr>
            </w:pPr>
            <w:r w:rsidRPr="00C328AC">
              <w:rPr>
                <w:sz w:val="22"/>
                <w:szCs w:val="22"/>
              </w:rPr>
              <w:t>The British Council’s cultural relations objectives, in terms of skills, are:</w:t>
            </w:r>
          </w:p>
          <w:p w:rsidR="007375A1" w:rsidRPr="00C328AC" w:rsidRDefault="007375A1" w:rsidP="007375A1">
            <w:pPr>
              <w:rPr>
                <w:sz w:val="22"/>
                <w:szCs w:val="22"/>
              </w:rPr>
            </w:pPr>
          </w:p>
          <w:p w:rsidR="007375A1" w:rsidRPr="00C328AC" w:rsidRDefault="007375A1" w:rsidP="00837CC1">
            <w:pPr>
              <w:numPr>
                <w:ilvl w:val="0"/>
                <w:numId w:val="9"/>
              </w:numPr>
              <w:rPr>
                <w:sz w:val="22"/>
                <w:szCs w:val="22"/>
              </w:rPr>
            </w:pPr>
            <w:r w:rsidRPr="00C328AC">
              <w:rPr>
                <w:sz w:val="22"/>
                <w:szCs w:val="22"/>
              </w:rPr>
              <w:t xml:space="preserve">to build </w:t>
            </w:r>
            <w:r w:rsidR="000917F4">
              <w:rPr>
                <w:sz w:val="22"/>
                <w:szCs w:val="22"/>
              </w:rPr>
              <w:t xml:space="preserve">the </w:t>
            </w:r>
            <w:r w:rsidRPr="00C328AC">
              <w:rPr>
                <w:sz w:val="22"/>
                <w:szCs w:val="22"/>
              </w:rPr>
              <w:t xml:space="preserve">UK’s reputation as a trusted partner by sharing and developing effective approaches to skills development, vocational education and enterprise; and </w:t>
            </w:r>
          </w:p>
          <w:p w:rsidR="007375A1" w:rsidRPr="00C328AC" w:rsidRDefault="007375A1" w:rsidP="007375A1">
            <w:pPr>
              <w:ind w:left="360"/>
              <w:rPr>
                <w:sz w:val="22"/>
                <w:szCs w:val="22"/>
              </w:rPr>
            </w:pPr>
          </w:p>
          <w:p w:rsidR="007375A1" w:rsidRPr="00C328AC" w:rsidRDefault="007375A1" w:rsidP="00837CC1">
            <w:pPr>
              <w:numPr>
                <w:ilvl w:val="0"/>
                <w:numId w:val="9"/>
              </w:numPr>
              <w:rPr>
                <w:sz w:val="22"/>
                <w:szCs w:val="22"/>
              </w:rPr>
            </w:pPr>
            <w:proofErr w:type="gramStart"/>
            <w:r w:rsidRPr="00C328AC">
              <w:rPr>
                <w:sz w:val="22"/>
                <w:szCs w:val="22"/>
              </w:rPr>
              <w:lastRenderedPageBreak/>
              <w:t>to</w:t>
            </w:r>
            <w:proofErr w:type="gramEnd"/>
            <w:r w:rsidRPr="00C328AC">
              <w:rPr>
                <w:sz w:val="22"/>
                <w:szCs w:val="22"/>
              </w:rPr>
              <w:t xml:space="preserve"> provide young people with opportunities that increase their skills and employability, thus contributing to strong economic growth and stable societies.</w:t>
            </w:r>
          </w:p>
          <w:p w:rsidR="007375A1" w:rsidRDefault="007375A1" w:rsidP="007375A1">
            <w:pPr>
              <w:tabs>
                <w:tab w:val="left" w:pos="4410"/>
              </w:tabs>
              <w:rPr>
                <w:sz w:val="22"/>
                <w:szCs w:val="22"/>
              </w:rPr>
            </w:pPr>
          </w:p>
          <w:p w:rsidR="00266587" w:rsidRDefault="00607B23" w:rsidP="00600E4A">
            <w:pPr>
              <w:rPr>
                <w:sz w:val="22"/>
                <w:szCs w:val="22"/>
              </w:rPr>
            </w:pPr>
            <w:r w:rsidRPr="00600E4A">
              <w:rPr>
                <w:sz w:val="22"/>
                <w:szCs w:val="22"/>
              </w:rPr>
              <w:t xml:space="preserve">At a time when the demand for skills is ever growing, both in the UK and abroad, the British Council are working to foster innovation, build new partnerships and identify and develop new opportunities. </w:t>
            </w:r>
          </w:p>
          <w:p w:rsidR="00600E4A" w:rsidRDefault="00600E4A" w:rsidP="00600E4A">
            <w:pPr>
              <w:rPr>
                <w:sz w:val="22"/>
                <w:szCs w:val="22"/>
              </w:rPr>
            </w:pPr>
          </w:p>
          <w:p w:rsidR="00600E4A" w:rsidRPr="00600E4A" w:rsidRDefault="00600E4A" w:rsidP="00600E4A">
            <w:pPr>
              <w:rPr>
                <w:sz w:val="22"/>
                <w:szCs w:val="22"/>
              </w:rPr>
            </w:pPr>
          </w:p>
        </w:tc>
      </w:tr>
      <w:tr w:rsidR="00961E5E" w:rsidRPr="006E4112" w:rsidTr="000346F6">
        <w:trPr>
          <w:trHeight w:val="132"/>
        </w:trPr>
        <w:tc>
          <w:tcPr>
            <w:tcW w:w="1637" w:type="dxa"/>
          </w:tcPr>
          <w:p w:rsidR="009F07BD" w:rsidRDefault="009F07BD" w:rsidP="003E2001">
            <w:pPr>
              <w:spacing w:line="288" w:lineRule="auto"/>
              <w:rPr>
                <w:b/>
                <w:bCs/>
                <w:sz w:val="22"/>
                <w:szCs w:val="22"/>
              </w:rPr>
            </w:pPr>
          </w:p>
          <w:p w:rsidR="00266587" w:rsidRDefault="00961E5E" w:rsidP="003E2001">
            <w:pPr>
              <w:spacing w:line="288" w:lineRule="auto"/>
              <w:rPr>
                <w:b/>
                <w:bCs/>
                <w:sz w:val="22"/>
                <w:szCs w:val="22"/>
              </w:rPr>
            </w:pPr>
            <w:r>
              <w:rPr>
                <w:b/>
                <w:bCs/>
                <w:sz w:val="22"/>
                <w:szCs w:val="22"/>
              </w:rPr>
              <w:t>Time</w:t>
            </w:r>
            <w:r w:rsidR="007B2306">
              <w:rPr>
                <w:b/>
                <w:bCs/>
                <w:sz w:val="22"/>
                <w:szCs w:val="22"/>
              </w:rPr>
              <w:t>sca</w:t>
            </w:r>
            <w:r>
              <w:rPr>
                <w:b/>
                <w:bCs/>
                <w:sz w:val="22"/>
                <w:szCs w:val="22"/>
              </w:rPr>
              <w:t>le</w:t>
            </w:r>
            <w:r w:rsidR="007B2306">
              <w:rPr>
                <w:b/>
                <w:bCs/>
                <w:sz w:val="22"/>
                <w:szCs w:val="22"/>
              </w:rPr>
              <w:t>s</w:t>
            </w: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Default="00266587" w:rsidP="003E2001">
            <w:pPr>
              <w:spacing w:line="288" w:lineRule="auto"/>
              <w:rPr>
                <w:b/>
                <w:bCs/>
                <w:sz w:val="22"/>
                <w:szCs w:val="22"/>
              </w:rPr>
            </w:pPr>
          </w:p>
          <w:p w:rsidR="00266587" w:rsidRPr="006E4112" w:rsidRDefault="00266587" w:rsidP="003E2001">
            <w:pPr>
              <w:spacing w:line="288" w:lineRule="auto"/>
              <w:rPr>
                <w:b/>
                <w:sz w:val="22"/>
                <w:szCs w:val="22"/>
              </w:rPr>
            </w:pPr>
          </w:p>
        </w:tc>
        <w:tc>
          <w:tcPr>
            <w:tcW w:w="7861" w:type="dxa"/>
          </w:tcPr>
          <w:p w:rsidR="009F07BD" w:rsidRDefault="009F07BD" w:rsidP="000F51E7">
            <w:pPr>
              <w:jc w:val="both"/>
              <w:rPr>
                <w:color w:val="FF0000"/>
                <w:sz w:val="22"/>
                <w:szCs w:val="22"/>
              </w:rPr>
            </w:pPr>
          </w:p>
          <w:p w:rsidR="000A6D0F" w:rsidRPr="000A6D0F" w:rsidRDefault="000A6D0F" w:rsidP="000F51E7">
            <w:pPr>
              <w:jc w:val="both"/>
              <w:rPr>
                <w:sz w:val="22"/>
                <w:szCs w:val="22"/>
              </w:rPr>
            </w:pPr>
            <w:r w:rsidRPr="000A6D0F">
              <w:rPr>
                <w:sz w:val="22"/>
                <w:szCs w:val="22"/>
              </w:rPr>
              <w:t>This timetable may be subject to change.</w:t>
            </w:r>
          </w:p>
          <w:p w:rsidR="000A6D0F" w:rsidRDefault="000A6D0F" w:rsidP="000F51E7">
            <w:pPr>
              <w:jc w:val="both"/>
              <w:rPr>
                <w:color w:val="FF0000"/>
                <w:sz w:val="22"/>
                <w:szCs w:val="22"/>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3189"/>
            </w:tblGrid>
            <w:tr w:rsidR="00E2239C" w:rsidRPr="009F6F3E" w:rsidTr="00AD24D0">
              <w:tc>
                <w:tcPr>
                  <w:tcW w:w="4384" w:type="dxa"/>
                </w:tcPr>
                <w:p w:rsidR="00E2239C" w:rsidRPr="009F6F3E" w:rsidRDefault="00E2239C" w:rsidP="00477E5A">
                  <w:pPr>
                    <w:rPr>
                      <w:b/>
                      <w:sz w:val="22"/>
                      <w:szCs w:val="22"/>
                    </w:rPr>
                  </w:pPr>
                  <w:r w:rsidRPr="009F6F3E">
                    <w:rPr>
                      <w:b/>
                      <w:sz w:val="22"/>
                      <w:szCs w:val="22"/>
                    </w:rPr>
                    <w:t>Activity</w:t>
                  </w:r>
                </w:p>
              </w:tc>
              <w:tc>
                <w:tcPr>
                  <w:tcW w:w="3189" w:type="dxa"/>
                </w:tcPr>
                <w:p w:rsidR="00E2239C" w:rsidRPr="009F6F3E" w:rsidRDefault="00E2239C" w:rsidP="00477E5A">
                  <w:pPr>
                    <w:rPr>
                      <w:b/>
                      <w:sz w:val="22"/>
                      <w:szCs w:val="22"/>
                    </w:rPr>
                  </w:pPr>
                  <w:r w:rsidRPr="009F6F3E">
                    <w:rPr>
                      <w:b/>
                      <w:sz w:val="22"/>
                      <w:szCs w:val="22"/>
                    </w:rPr>
                    <w:t>Date</w:t>
                  </w:r>
                </w:p>
              </w:tc>
            </w:tr>
            <w:tr w:rsidR="00E2239C" w:rsidRPr="009F6F3E" w:rsidTr="00AD24D0">
              <w:tc>
                <w:tcPr>
                  <w:tcW w:w="4384" w:type="dxa"/>
                </w:tcPr>
                <w:p w:rsidR="00E2239C" w:rsidRPr="004217D6" w:rsidRDefault="00837108" w:rsidP="00837108">
                  <w:pPr>
                    <w:rPr>
                      <w:sz w:val="22"/>
                      <w:szCs w:val="22"/>
                    </w:rPr>
                  </w:pPr>
                  <w:r>
                    <w:rPr>
                      <w:sz w:val="22"/>
                      <w:szCs w:val="22"/>
                    </w:rPr>
                    <w:t>ITQ</w:t>
                  </w:r>
                  <w:r w:rsidR="007209BA" w:rsidRPr="004217D6">
                    <w:rPr>
                      <w:sz w:val="22"/>
                      <w:szCs w:val="22"/>
                    </w:rPr>
                    <w:t xml:space="preserve"> </w:t>
                  </w:r>
                  <w:r>
                    <w:rPr>
                      <w:sz w:val="22"/>
                      <w:szCs w:val="22"/>
                    </w:rPr>
                    <w:t>Released (sent)</w:t>
                  </w:r>
                </w:p>
              </w:tc>
              <w:tc>
                <w:tcPr>
                  <w:tcW w:w="3189" w:type="dxa"/>
                </w:tcPr>
                <w:p w:rsidR="00E2239C" w:rsidRPr="00CE3E77" w:rsidRDefault="00DE061C" w:rsidP="00DE061C">
                  <w:pPr>
                    <w:rPr>
                      <w:sz w:val="22"/>
                      <w:szCs w:val="22"/>
                    </w:rPr>
                  </w:pPr>
                  <w:r>
                    <w:rPr>
                      <w:sz w:val="22"/>
                      <w:szCs w:val="22"/>
                    </w:rPr>
                    <w:t>9</w:t>
                  </w:r>
                  <w:r w:rsidRPr="00DE061C">
                    <w:rPr>
                      <w:sz w:val="22"/>
                      <w:szCs w:val="22"/>
                      <w:vertAlign w:val="superscript"/>
                    </w:rPr>
                    <w:t>th</w:t>
                  </w:r>
                  <w:r>
                    <w:rPr>
                      <w:sz w:val="22"/>
                      <w:szCs w:val="22"/>
                    </w:rPr>
                    <w:t xml:space="preserve"> February</w:t>
                  </w:r>
                  <w:r w:rsidR="00284CBC">
                    <w:rPr>
                      <w:sz w:val="22"/>
                      <w:szCs w:val="22"/>
                    </w:rPr>
                    <w:t xml:space="preserve"> 201</w:t>
                  </w:r>
                  <w:r>
                    <w:rPr>
                      <w:sz w:val="22"/>
                      <w:szCs w:val="22"/>
                    </w:rPr>
                    <w:t>6</w:t>
                  </w:r>
                </w:p>
              </w:tc>
            </w:tr>
            <w:tr w:rsidR="00E2239C" w:rsidRPr="009F6F3E" w:rsidTr="00AD24D0">
              <w:tc>
                <w:tcPr>
                  <w:tcW w:w="4384" w:type="dxa"/>
                </w:tcPr>
                <w:p w:rsidR="00E2239C" w:rsidRPr="004217D6" w:rsidRDefault="003B1C56" w:rsidP="00477E5A">
                  <w:pPr>
                    <w:rPr>
                      <w:sz w:val="22"/>
                      <w:szCs w:val="22"/>
                    </w:rPr>
                  </w:pPr>
                  <w:r>
                    <w:rPr>
                      <w:sz w:val="22"/>
                      <w:szCs w:val="22"/>
                    </w:rPr>
                    <w:t>*</w:t>
                  </w:r>
                  <w:r w:rsidR="00165130">
                    <w:rPr>
                      <w:sz w:val="22"/>
                      <w:szCs w:val="22"/>
                    </w:rPr>
                    <w:t xml:space="preserve">Clarification </w:t>
                  </w:r>
                  <w:r w:rsidR="00E2239C" w:rsidRPr="004217D6">
                    <w:rPr>
                      <w:sz w:val="22"/>
                      <w:szCs w:val="22"/>
                    </w:rPr>
                    <w:t>Questions</w:t>
                  </w:r>
                </w:p>
              </w:tc>
              <w:tc>
                <w:tcPr>
                  <w:tcW w:w="3189" w:type="dxa"/>
                </w:tcPr>
                <w:p w:rsidR="00E2239C" w:rsidRPr="00CE3E77" w:rsidRDefault="00DE061C" w:rsidP="00DE061C">
                  <w:pPr>
                    <w:rPr>
                      <w:sz w:val="22"/>
                      <w:szCs w:val="22"/>
                    </w:rPr>
                  </w:pPr>
                  <w:r>
                    <w:rPr>
                      <w:sz w:val="22"/>
                      <w:szCs w:val="22"/>
                    </w:rPr>
                    <w:t>15</w:t>
                  </w:r>
                  <w:r w:rsidRPr="00DE061C">
                    <w:rPr>
                      <w:sz w:val="22"/>
                      <w:szCs w:val="22"/>
                      <w:vertAlign w:val="superscript"/>
                    </w:rPr>
                    <w:t>th</w:t>
                  </w:r>
                  <w:r>
                    <w:rPr>
                      <w:sz w:val="22"/>
                      <w:szCs w:val="22"/>
                    </w:rPr>
                    <w:t xml:space="preserve"> February </w:t>
                  </w:r>
                  <w:r w:rsidR="00355BE4">
                    <w:rPr>
                      <w:sz w:val="22"/>
                      <w:szCs w:val="22"/>
                    </w:rPr>
                    <w:t>201</w:t>
                  </w:r>
                  <w:r>
                    <w:rPr>
                      <w:sz w:val="22"/>
                      <w:szCs w:val="22"/>
                    </w:rPr>
                    <w:t>6</w:t>
                  </w:r>
                  <w:r w:rsidR="00355BE4">
                    <w:rPr>
                      <w:sz w:val="22"/>
                      <w:szCs w:val="22"/>
                    </w:rPr>
                    <w:t xml:space="preserve"> </w:t>
                  </w:r>
                </w:p>
              </w:tc>
            </w:tr>
            <w:tr w:rsidR="00E2239C" w:rsidRPr="009F6F3E" w:rsidTr="00AD24D0">
              <w:tc>
                <w:tcPr>
                  <w:tcW w:w="4384" w:type="dxa"/>
                </w:tcPr>
                <w:p w:rsidR="00E2239C" w:rsidRPr="004217D6" w:rsidRDefault="00E2239C" w:rsidP="00477E5A">
                  <w:pPr>
                    <w:rPr>
                      <w:sz w:val="22"/>
                      <w:szCs w:val="22"/>
                    </w:rPr>
                  </w:pPr>
                  <w:r w:rsidRPr="004217D6">
                    <w:rPr>
                      <w:sz w:val="22"/>
                      <w:szCs w:val="22"/>
                    </w:rPr>
                    <w:t>Clarification Responses</w:t>
                  </w:r>
                </w:p>
              </w:tc>
              <w:tc>
                <w:tcPr>
                  <w:tcW w:w="3189" w:type="dxa"/>
                </w:tcPr>
                <w:p w:rsidR="00E2239C" w:rsidRPr="00CE3E77" w:rsidRDefault="00DE061C" w:rsidP="00DE061C">
                  <w:pPr>
                    <w:rPr>
                      <w:sz w:val="22"/>
                      <w:szCs w:val="22"/>
                    </w:rPr>
                  </w:pPr>
                  <w:r>
                    <w:rPr>
                      <w:sz w:val="22"/>
                      <w:szCs w:val="22"/>
                    </w:rPr>
                    <w:t>17</w:t>
                  </w:r>
                  <w:r w:rsidRPr="00DE061C">
                    <w:rPr>
                      <w:sz w:val="22"/>
                      <w:szCs w:val="22"/>
                      <w:vertAlign w:val="superscript"/>
                    </w:rPr>
                    <w:t>th</w:t>
                  </w:r>
                  <w:r>
                    <w:rPr>
                      <w:sz w:val="22"/>
                      <w:szCs w:val="22"/>
                    </w:rPr>
                    <w:t xml:space="preserve"> February</w:t>
                  </w:r>
                  <w:r w:rsidR="00355BE4">
                    <w:rPr>
                      <w:sz w:val="22"/>
                      <w:szCs w:val="22"/>
                    </w:rPr>
                    <w:t xml:space="preserve"> 201</w:t>
                  </w:r>
                  <w:r>
                    <w:rPr>
                      <w:sz w:val="22"/>
                      <w:szCs w:val="22"/>
                    </w:rPr>
                    <w:t>6</w:t>
                  </w:r>
                  <w:r w:rsidR="00355BE4">
                    <w:rPr>
                      <w:sz w:val="22"/>
                      <w:szCs w:val="22"/>
                    </w:rPr>
                    <w:t xml:space="preserve"> </w:t>
                  </w:r>
                </w:p>
              </w:tc>
            </w:tr>
            <w:tr w:rsidR="00E2239C" w:rsidRPr="009F6F3E" w:rsidTr="00AD24D0">
              <w:tc>
                <w:tcPr>
                  <w:tcW w:w="4384" w:type="dxa"/>
                </w:tcPr>
                <w:p w:rsidR="00E2239C" w:rsidRPr="004217D6" w:rsidRDefault="00837108" w:rsidP="007209BA">
                  <w:pPr>
                    <w:rPr>
                      <w:sz w:val="22"/>
                      <w:szCs w:val="22"/>
                    </w:rPr>
                  </w:pPr>
                  <w:r>
                    <w:rPr>
                      <w:sz w:val="22"/>
                      <w:szCs w:val="22"/>
                    </w:rPr>
                    <w:t>ITQ</w:t>
                  </w:r>
                  <w:r w:rsidR="00E2239C" w:rsidRPr="004217D6">
                    <w:rPr>
                      <w:sz w:val="22"/>
                      <w:szCs w:val="22"/>
                    </w:rPr>
                    <w:t xml:space="preserve"> Return Date</w:t>
                  </w:r>
                </w:p>
              </w:tc>
              <w:tc>
                <w:tcPr>
                  <w:tcW w:w="3189" w:type="dxa"/>
                </w:tcPr>
                <w:p w:rsidR="00E2239C" w:rsidRPr="00CE3E77" w:rsidRDefault="00837CC1" w:rsidP="00837CC1">
                  <w:pPr>
                    <w:rPr>
                      <w:sz w:val="22"/>
                      <w:szCs w:val="22"/>
                    </w:rPr>
                  </w:pPr>
                  <w:r>
                    <w:rPr>
                      <w:sz w:val="22"/>
                      <w:szCs w:val="22"/>
                    </w:rPr>
                    <w:t>19</w:t>
                  </w:r>
                  <w:r w:rsidRPr="00837CC1">
                    <w:rPr>
                      <w:sz w:val="22"/>
                      <w:szCs w:val="22"/>
                      <w:vertAlign w:val="superscript"/>
                    </w:rPr>
                    <w:t>th</w:t>
                  </w:r>
                  <w:r>
                    <w:rPr>
                      <w:sz w:val="22"/>
                      <w:szCs w:val="22"/>
                    </w:rPr>
                    <w:t xml:space="preserve"> February</w:t>
                  </w:r>
                  <w:r w:rsidR="00284CBC">
                    <w:rPr>
                      <w:sz w:val="22"/>
                      <w:szCs w:val="22"/>
                    </w:rPr>
                    <w:t xml:space="preserve"> </w:t>
                  </w:r>
                  <w:r w:rsidR="00355BE4">
                    <w:rPr>
                      <w:sz w:val="22"/>
                      <w:szCs w:val="22"/>
                    </w:rPr>
                    <w:t xml:space="preserve"> 201</w:t>
                  </w:r>
                  <w:r w:rsidR="00DE061C">
                    <w:rPr>
                      <w:sz w:val="22"/>
                      <w:szCs w:val="22"/>
                    </w:rPr>
                    <w:t>6</w:t>
                  </w:r>
                  <w:r w:rsidR="00355BE4">
                    <w:rPr>
                      <w:sz w:val="22"/>
                      <w:szCs w:val="22"/>
                    </w:rPr>
                    <w:t xml:space="preserve"> </w:t>
                  </w:r>
                </w:p>
              </w:tc>
            </w:tr>
            <w:tr w:rsidR="00E2239C" w:rsidRPr="009F6F3E" w:rsidTr="00AD24D0">
              <w:tc>
                <w:tcPr>
                  <w:tcW w:w="4384" w:type="dxa"/>
                </w:tcPr>
                <w:p w:rsidR="00E2239C" w:rsidRPr="004217D6" w:rsidRDefault="00E2239C" w:rsidP="00477E5A">
                  <w:pPr>
                    <w:rPr>
                      <w:sz w:val="22"/>
                      <w:szCs w:val="22"/>
                    </w:rPr>
                  </w:pPr>
                  <w:r w:rsidRPr="004217D6">
                    <w:rPr>
                      <w:sz w:val="22"/>
                      <w:szCs w:val="22"/>
                    </w:rPr>
                    <w:t>Evaluation of responses</w:t>
                  </w:r>
                </w:p>
              </w:tc>
              <w:tc>
                <w:tcPr>
                  <w:tcW w:w="3189" w:type="dxa"/>
                </w:tcPr>
                <w:p w:rsidR="00E2239C" w:rsidRPr="00CE3E77" w:rsidRDefault="00837CC1" w:rsidP="00837CC1">
                  <w:pPr>
                    <w:rPr>
                      <w:sz w:val="22"/>
                      <w:szCs w:val="22"/>
                    </w:rPr>
                  </w:pPr>
                  <w:r>
                    <w:rPr>
                      <w:sz w:val="22"/>
                      <w:szCs w:val="22"/>
                    </w:rPr>
                    <w:t>21</w:t>
                  </w:r>
                  <w:r w:rsidRPr="00837CC1">
                    <w:rPr>
                      <w:sz w:val="22"/>
                      <w:szCs w:val="22"/>
                      <w:vertAlign w:val="superscript"/>
                    </w:rPr>
                    <w:t>st</w:t>
                  </w:r>
                  <w:r>
                    <w:rPr>
                      <w:sz w:val="22"/>
                      <w:szCs w:val="22"/>
                    </w:rPr>
                    <w:t xml:space="preserve"> February</w:t>
                  </w:r>
                  <w:r w:rsidR="00284CBC">
                    <w:rPr>
                      <w:sz w:val="22"/>
                      <w:szCs w:val="22"/>
                    </w:rPr>
                    <w:t xml:space="preserve"> </w:t>
                  </w:r>
                  <w:r w:rsidR="00355BE4">
                    <w:rPr>
                      <w:sz w:val="22"/>
                      <w:szCs w:val="22"/>
                    </w:rPr>
                    <w:t>201</w:t>
                  </w:r>
                  <w:r w:rsidR="00DE061C">
                    <w:rPr>
                      <w:sz w:val="22"/>
                      <w:szCs w:val="22"/>
                    </w:rPr>
                    <w:t>6</w:t>
                  </w:r>
                </w:p>
              </w:tc>
            </w:tr>
            <w:tr w:rsidR="00E2239C" w:rsidRPr="006556E5" w:rsidTr="00AD24D0">
              <w:tc>
                <w:tcPr>
                  <w:tcW w:w="4384" w:type="dxa"/>
                </w:tcPr>
                <w:p w:rsidR="00E2239C" w:rsidRPr="009F6F3E" w:rsidRDefault="00E2239C" w:rsidP="00AD24D0">
                  <w:pPr>
                    <w:rPr>
                      <w:sz w:val="22"/>
                      <w:szCs w:val="22"/>
                    </w:rPr>
                  </w:pPr>
                  <w:r w:rsidRPr="009F6F3E">
                    <w:rPr>
                      <w:sz w:val="22"/>
                      <w:szCs w:val="22"/>
                    </w:rPr>
                    <w:t xml:space="preserve">Final decision and Intention to award </w:t>
                  </w:r>
                </w:p>
              </w:tc>
              <w:tc>
                <w:tcPr>
                  <w:tcW w:w="3189" w:type="dxa"/>
                </w:tcPr>
                <w:p w:rsidR="00E2239C" w:rsidRPr="00CE3E77" w:rsidRDefault="00837CC1" w:rsidP="00837CC1">
                  <w:pPr>
                    <w:rPr>
                      <w:sz w:val="22"/>
                      <w:szCs w:val="22"/>
                    </w:rPr>
                  </w:pPr>
                  <w:r>
                    <w:rPr>
                      <w:sz w:val="22"/>
                      <w:szCs w:val="22"/>
                    </w:rPr>
                    <w:t>23</w:t>
                  </w:r>
                  <w:r w:rsidRPr="00837CC1">
                    <w:rPr>
                      <w:sz w:val="22"/>
                      <w:szCs w:val="22"/>
                      <w:vertAlign w:val="superscript"/>
                    </w:rPr>
                    <w:t>rd</w:t>
                  </w:r>
                  <w:r>
                    <w:rPr>
                      <w:sz w:val="22"/>
                      <w:szCs w:val="22"/>
                    </w:rPr>
                    <w:t xml:space="preserve"> February</w:t>
                  </w:r>
                  <w:r w:rsidR="00284CBC">
                    <w:rPr>
                      <w:sz w:val="22"/>
                      <w:szCs w:val="22"/>
                    </w:rPr>
                    <w:t xml:space="preserve"> </w:t>
                  </w:r>
                  <w:r w:rsidR="00355BE4">
                    <w:rPr>
                      <w:sz w:val="22"/>
                      <w:szCs w:val="22"/>
                    </w:rPr>
                    <w:t>201</w:t>
                  </w:r>
                  <w:r w:rsidR="00DE061C">
                    <w:rPr>
                      <w:sz w:val="22"/>
                      <w:szCs w:val="22"/>
                    </w:rPr>
                    <w:t>6</w:t>
                  </w:r>
                  <w:r w:rsidR="00355BE4">
                    <w:rPr>
                      <w:sz w:val="22"/>
                      <w:szCs w:val="22"/>
                    </w:rPr>
                    <w:t xml:space="preserve"> </w:t>
                  </w:r>
                </w:p>
              </w:tc>
            </w:tr>
          </w:tbl>
          <w:p w:rsidR="003B1C56" w:rsidRDefault="003B1C56" w:rsidP="003B1C56">
            <w:pPr>
              <w:jc w:val="both"/>
              <w:rPr>
                <w:sz w:val="22"/>
                <w:szCs w:val="22"/>
              </w:rPr>
            </w:pPr>
          </w:p>
          <w:p w:rsidR="000F51E7" w:rsidRPr="00D51590" w:rsidRDefault="003B1C56" w:rsidP="00837CC1">
            <w:pPr>
              <w:jc w:val="both"/>
              <w:rPr>
                <w:b/>
                <w:bCs/>
                <w:color w:val="FF0000"/>
                <w:sz w:val="22"/>
                <w:szCs w:val="22"/>
              </w:rPr>
            </w:pPr>
            <w:r>
              <w:rPr>
                <w:sz w:val="22"/>
                <w:szCs w:val="22"/>
              </w:rPr>
              <w:t>*</w:t>
            </w:r>
            <w:r w:rsidRPr="00BF6F58">
              <w:rPr>
                <w:sz w:val="22"/>
                <w:szCs w:val="22"/>
              </w:rPr>
              <w:t xml:space="preserve">Any </w:t>
            </w:r>
            <w:r w:rsidR="00AD24D0">
              <w:rPr>
                <w:sz w:val="22"/>
                <w:szCs w:val="22"/>
              </w:rPr>
              <w:t xml:space="preserve">clarification </w:t>
            </w:r>
            <w:r w:rsidRPr="00BF6F58">
              <w:rPr>
                <w:sz w:val="22"/>
                <w:szCs w:val="22"/>
              </w:rPr>
              <w:t>questions should be</w:t>
            </w:r>
            <w:r w:rsidR="00FA65B8" w:rsidRPr="00492B89">
              <w:rPr>
                <w:color w:val="000000" w:themeColor="text1"/>
                <w:sz w:val="24"/>
                <w:szCs w:val="24"/>
              </w:rPr>
              <w:t xml:space="preserve"> should be submitted</w:t>
            </w:r>
            <w:r w:rsidR="00FA65B8">
              <w:rPr>
                <w:color w:val="000000" w:themeColor="text1"/>
                <w:sz w:val="24"/>
                <w:szCs w:val="24"/>
              </w:rPr>
              <w:t xml:space="preserve"> via email</w:t>
            </w:r>
            <w:r w:rsidR="00FA65B8" w:rsidRPr="00492B89">
              <w:rPr>
                <w:color w:val="000000" w:themeColor="text1"/>
                <w:sz w:val="24"/>
                <w:szCs w:val="24"/>
              </w:rPr>
              <w:t xml:space="preserve"> to </w:t>
            </w:r>
            <w:hyperlink r:id="rId14" w:history="1">
              <w:r w:rsidR="00837CC1" w:rsidRPr="00476791">
                <w:rPr>
                  <w:rStyle w:val="Hyperlink"/>
                  <w:sz w:val="22"/>
                  <w:szCs w:val="22"/>
                </w:rPr>
                <w:t>viktoriia.teliga@britishcouncil.org</w:t>
              </w:r>
            </w:hyperlink>
            <w:r w:rsidR="00837CC1">
              <w:rPr>
                <w:sz w:val="22"/>
                <w:szCs w:val="22"/>
              </w:rPr>
              <w:t xml:space="preserve"> </w:t>
            </w:r>
            <w:r w:rsidR="00837CC1" w:rsidRPr="00837CC1">
              <w:rPr>
                <w:sz w:val="22"/>
                <w:szCs w:val="22"/>
              </w:rPr>
              <w:t xml:space="preserve"> n</w:t>
            </w:r>
            <w:r w:rsidRPr="00837CC1">
              <w:rPr>
                <w:sz w:val="22"/>
                <w:szCs w:val="22"/>
              </w:rPr>
              <w:t>o</w:t>
            </w:r>
            <w:r w:rsidRPr="00BF6F58">
              <w:rPr>
                <w:sz w:val="22"/>
                <w:szCs w:val="22"/>
              </w:rPr>
              <w:t xml:space="preserve"> l</w:t>
            </w:r>
            <w:r w:rsidR="00355BE4">
              <w:rPr>
                <w:sz w:val="22"/>
                <w:szCs w:val="22"/>
              </w:rPr>
              <w:t>ate</w:t>
            </w:r>
            <w:r w:rsidR="00837CC1">
              <w:rPr>
                <w:sz w:val="22"/>
                <w:szCs w:val="22"/>
              </w:rPr>
              <w:t>r than</w:t>
            </w:r>
            <w:r w:rsidR="00355BE4">
              <w:rPr>
                <w:sz w:val="22"/>
                <w:szCs w:val="22"/>
              </w:rPr>
              <w:t xml:space="preserve"> </w:t>
            </w:r>
            <w:r w:rsidR="00837CC1">
              <w:rPr>
                <w:sz w:val="22"/>
                <w:szCs w:val="22"/>
              </w:rPr>
              <w:t>15</w:t>
            </w:r>
            <w:r w:rsidR="00FA65B8">
              <w:rPr>
                <w:sz w:val="22"/>
                <w:szCs w:val="22"/>
              </w:rPr>
              <w:t>th</w:t>
            </w:r>
            <w:r w:rsidR="00E910A2">
              <w:rPr>
                <w:sz w:val="22"/>
                <w:szCs w:val="22"/>
              </w:rPr>
              <w:t xml:space="preserve"> </w:t>
            </w:r>
            <w:r w:rsidR="00837CC1">
              <w:rPr>
                <w:sz w:val="22"/>
                <w:szCs w:val="22"/>
              </w:rPr>
              <w:t>February</w:t>
            </w:r>
            <w:r w:rsidR="00355BE4">
              <w:rPr>
                <w:sz w:val="22"/>
                <w:szCs w:val="22"/>
              </w:rPr>
              <w:t xml:space="preserve"> </w:t>
            </w:r>
            <w:r w:rsidR="001D0616">
              <w:rPr>
                <w:sz w:val="22"/>
                <w:szCs w:val="22"/>
              </w:rPr>
              <w:t>201</w:t>
            </w:r>
            <w:r w:rsidR="00837CC1">
              <w:rPr>
                <w:sz w:val="22"/>
                <w:szCs w:val="22"/>
              </w:rPr>
              <w:t>6</w:t>
            </w:r>
            <w:r w:rsidR="00E910A2">
              <w:rPr>
                <w:sz w:val="22"/>
                <w:szCs w:val="22"/>
              </w:rPr>
              <w:t xml:space="preserve">, </w:t>
            </w:r>
            <w:r w:rsidR="00CE3E77">
              <w:rPr>
                <w:sz w:val="22"/>
                <w:szCs w:val="22"/>
              </w:rPr>
              <w:t>17:00 hours</w:t>
            </w:r>
            <w:r w:rsidR="008F1481">
              <w:rPr>
                <w:sz w:val="22"/>
                <w:szCs w:val="22"/>
              </w:rPr>
              <w:t xml:space="preserve"> (UK time)</w:t>
            </w:r>
            <w:r w:rsidR="00CE3E77">
              <w:rPr>
                <w:sz w:val="22"/>
                <w:szCs w:val="22"/>
              </w:rPr>
              <w:t>.</w:t>
            </w:r>
            <w:r w:rsidRPr="004A4530">
              <w:rPr>
                <w:sz w:val="22"/>
                <w:szCs w:val="22"/>
              </w:rPr>
              <w:t xml:space="preserve">  </w:t>
            </w:r>
          </w:p>
        </w:tc>
      </w:tr>
      <w:tr w:rsidR="00961E5E" w:rsidRPr="006E4112" w:rsidTr="003A1C36">
        <w:trPr>
          <w:trHeight w:val="349"/>
        </w:trPr>
        <w:tc>
          <w:tcPr>
            <w:tcW w:w="1637" w:type="dxa"/>
          </w:tcPr>
          <w:p w:rsidR="009F07BD" w:rsidRDefault="009F07BD" w:rsidP="003E2001">
            <w:pPr>
              <w:jc w:val="both"/>
              <w:rPr>
                <w:b/>
                <w:bCs/>
                <w:sz w:val="22"/>
                <w:szCs w:val="22"/>
              </w:rPr>
            </w:pPr>
          </w:p>
          <w:p w:rsidR="00961E5E" w:rsidRPr="00554FFD" w:rsidRDefault="00961E5E" w:rsidP="003E2001">
            <w:pPr>
              <w:jc w:val="both"/>
              <w:rPr>
                <w:b/>
                <w:bCs/>
                <w:sz w:val="22"/>
                <w:szCs w:val="22"/>
              </w:rPr>
            </w:pPr>
            <w:r w:rsidRPr="00554FFD">
              <w:rPr>
                <w:b/>
                <w:bCs/>
                <w:sz w:val="22"/>
                <w:szCs w:val="22"/>
              </w:rPr>
              <w:t>Supplier Response</w:t>
            </w:r>
          </w:p>
        </w:tc>
        <w:tc>
          <w:tcPr>
            <w:tcW w:w="7861" w:type="dxa"/>
          </w:tcPr>
          <w:p w:rsidR="009F07BD" w:rsidRDefault="009F07BD" w:rsidP="009F07BD">
            <w:pPr>
              <w:pStyle w:val="NormalWeb"/>
              <w:spacing w:before="0" w:beforeAutospacing="0" w:after="0" w:afterAutospacing="0"/>
              <w:rPr>
                <w:rFonts w:ascii="Arial" w:hAnsi="Arial" w:cs="Arial"/>
                <w:sz w:val="22"/>
                <w:szCs w:val="22"/>
              </w:rPr>
            </w:pPr>
          </w:p>
          <w:p w:rsidR="0018537F" w:rsidRPr="000346F6" w:rsidRDefault="0018537F" w:rsidP="009F07BD">
            <w:pPr>
              <w:pStyle w:val="NormalWeb"/>
              <w:spacing w:before="0" w:beforeAutospacing="0" w:after="0" w:afterAutospacing="0"/>
              <w:rPr>
                <w:rFonts w:ascii="Arial" w:hAnsi="Arial" w:cs="Arial"/>
                <w:sz w:val="22"/>
                <w:szCs w:val="22"/>
              </w:rPr>
            </w:pPr>
            <w:r w:rsidRPr="00D51590">
              <w:rPr>
                <w:rFonts w:ascii="Arial" w:hAnsi="Arial" w:cs="Arial"/>
                <w:sz w:val="22"/>
                <w:szCs w:val="22"/>
              </w:rPr>
              <w:t xml:space="preserve">Please complete Annex </w:t>
            </w:r>
            <w:r w:rsidR="005A7F5A">
              <w:rPr>
                <w:rFonts w:ascii="Arial" w:hAnsi="Arial" w:cs="Arial"/>
                <w:sz w:val="22"/>
                <w:szCs w:val="22"/>
              </w:rPr>
              <w:t>1</w:t>
            </w:r>
            <w:r w:rsidRPr="00D51590">
              <w:rPr>
                <w:rFonts w:ascii="Arial" w:hAnsi="Arial" w:cs="Arial"/>
                <w:sz w:val="22"/>
                <w:szCs w:val="22"/>
              </w:rPr>
              <w:t xml:space="preserve"> (</w:t>
            </w:r>
            <w:r w:rsidR="00837108">
              <w:rPr>
                <w:rFonts w:ascii="Arial" w:hAnsi="Arial" w:cs="Arial"/>
                <w:sz w:val="22"/>
                <w:szCs w:val="22"/>
              </w:rPr>
              <w:t>ITQ</w:t>
            </w:r>
            <w:r w:rsidR="00AB422C">
              <w:rPr>
                <w:rFonts w:ascii="Arial" w:hAnsi="Arial" w:cs="Arial"/>
                <w:sz w:val="22"/>
                <w:szCs w:val="22"/>
              </w:rPr>
              <w:t xml:space="preserve"> response</w:t>
            </w:r>
            <w:r w:rsidRPr="00D51590">
              <w:rPr>
                <w:rFonts w:ascii="Arial" w:hAnsi="Arial" w:cs="Arial"/>
                <w:sz w:val="22"/>
                <w:szCs w:val="22"/>
              </w:rPr>
              <w:t xml:space="preserve">) </w:t>
            </w:r>
            <w:r w:rsidR="004A2D76">
              <w:rPr>
                <w:rFonts w:ascii="Arial" w:hAnsi="Arial" w:cs="Arial"/>
                <w:sz w:val="22"/>
                <w:szCs w:val="22"/>
              </w:rPr>
              <w:t xml:space="preserve">and </w:t>
            </w:r>
            <w:r w:rsidRPr="00D51590">
              <w:rPr>
                <w:rFonts w:ascii="Arial" w:hAnsi="Arial" w:cs="Arial"/>
                <w:sz w:val="22"/>
                <w:szCs w:val="22"/>
              </w:rPr>
              <w:t xml:space="preserve">submit </w:t>
            </w:r>
            <w:r w:rsidR="00AB422C">
              <w:rPr>
                <w:rFonts w:ascii="Arial" w:hAnsi="Arial" w:cs="Arial"/>
                <w:sz w:val="22"/>
                <w:szCs w:val="22"/>
              </w:rPr>
              <w:t xml:space="preserve">it </w:t>
            </w:r>
            <w:r w:rsidRPr="00D51590">
              <w:rPr>
                <w:rFonts w:ascii="Arial" w:hAnsi="Arial" w:cs="Arial"/>
                <w:sz w:val="22"/>
                <w:szCs w:val="22"/>
              </w:rPr>
              <w:t xml:space="preserve">to </w:t>
            </w:r>
            <w:r w:rsidR="00837CC1">
              <w:rPr>
                <w:rFonts w:ascii="Arial" w:hAnsi="Arial" w:cs="Arial"/>
              </w:rPr>
              <w:t>viktoriia.teliga@britishcouncil.org</w:t>
            </w:r>
            <w:r w:rsidR="00CE3E77">
              <w:rPr>
                <w:sz w:val="22"/>
                <w:szCs w:val="22"/>
              </w:rPr>
              <w:t xml:space="preserve"> </w:t>
            </w:r>
            <w:r w:rsidRPr="00D51590">
              <w:rPr>
                <w:rFonts w:ascii="Arial" w:hAnsi="Arial" w:cs="Arial"/>
                <w:sz w:val="22"/>
                <w:szCs w:val="22"/>
              </w:rPr>
              <w:t xml:space="preserve">no later than </w:t>
            </w:r>
            <w:r w:rsidR="00837CC1">
              <w:rPr>
                <w:rFonts w:ascii="Arial" w:hAnsi="Arial" w:cs="Arial"/>
                <w:sz w:val="22"/>
                <w:szCs w:val="22"/>
              </w:rPr>
              <w:t>19</w:t>
            </w:r>
            <w:r w:rsidR="00837CC1" w:rsidRPr="00837CC1">
              <w:rPr>
                <w:rFonts w:ascii="Arial" w:hAnsi="Arial" w:cs="Arial"/>
                <w:sz w:val="22"/>
                <w:szCs w:val="22"/>
                <w:vertAlign w:val="superscript"/>
              </w:rPr>
              <w:t>th</w:t>
            </w:r>
            <w:r w:rsidR="00837CC1">
              <w:rPr>
                <w:rFonts w:ascii="Arial" w:hAnsi="Arial" w:cs="Arial"/>
                <w:sz w:val="22"/>
                <w:szCs w:val="22"/>
              </w:rPr>
              <w:t xml:space="preserve"> February</w:t>
            </w:r>
            <w:r w:rsidR="00355BE4">
              <w:rPr>
                <w:rFonts w:ascii="Arial" w:hAnsi="Arial" w:cs="Arial"/>
                <w:sz w:val="22"/>
                <w:szCs w:val="22"/>
              </w:rPr>
              <w:t xml:space="preserve"> </w:t>
            </w:r>
            <w:r w:rsidR="001D0616">
              <w:rPr>
                <w:rFonts w:ascii="Arial" w:hAnsi="Arial" w:cs="Arial"/>
                <w:sz w:val="22"/>
                <w:szCs w:val="22"/>
              </w:rPr>
              <w:t xml:space="preserve"> 201</w:t>
            </w:r>
            <w:r w:rsidR="00837CC1">
              <w:rPr>
                <w:rFonts w:ascii="Arial" w:hAnsi="Arial" w:cs="Arial"/>
                <w:sz w:val="22"/>
                <w:szCs w:val="22"/>
              </w:rPr>
              <w:t>6</w:t>
            </w:r>
            <w:r w:rsidR="00CE3E77" w:rsidRPr="000346F6">
              <w:rPr>
                <w:rFonts w:ascii="Arial" w:hAnsi="Arial" w:cs="Arial"/>
                <w:sz w:val="22"/>
                <w:szCs w:val="22"/>
              </w:rPr>
              <w:t>, 17:00 hours</w:t>
            </w:r>
            <w:r w:rsidR="008F1481">
              <w:rPr>
                <w:rFonts w:ascii="Arial" w:hAnsi="Arial" w:cs="Arial"/>
                <w:sz w:val="22"/>
                <w:szCs w:val="22"/>
              </w:rPr>
              <w:t xml:space="preserve"> (UK time)</w:t>
            </w:r>
            <w:r w:rsidR="00D51590" w:rsidRPr="000346F6">
              <w:rPr>
                <w:rFonts w:ascii="Arial" w:hAnsi="Arial" w:cs="Arial"/>
                <w:sz w:val="22"/>
                <w:szCs w:val="22"/>
              </w:rPr>
              <w:t xml:space="preserve">  </w:t>
            </w:r>
          </w:p>
          <w:p w:rsidR="00E80A8E" w:rsidRPr="00D51590" w:rsidRDefault="00E80A8E" w:rsidP="009F07BD">
            <w:pPr>
              <w:pStyle w:val="NormalWeb"/>
              <w:spacing w:before="0" w:beforeAutospacing="0" w:after="0" w:afterAutospacing="0"/>
              <w:rPr>
                <w:rFonts w:ascii="Arial" w:hAnsi="Arial" w:cs="Arial"/>
                <w:sz w:val="22"/>
                <w:szCs w:val="22"/>
              </w:rPr>
            </w:pPr>
          </w:p>
          <w:p w:rsidR="0018537F" w:rsidRPr="00414476" w:rsidRDefault="0018537F" w:rsidP="00837CC1">
            <w:pPr>
              <w:numPr>
                <w:ilvl w:val="0"/>
                <w:numId w:val="6"/>
              </w:numPr>
              <w:ind w:left="420"/>
              <w:rPr>
                <w:b/>
                <w:sz w:val="22"/>
                <w:szCs w:val="22"/>
              </w:rPr>
            </w:pPr>
            <w:r w:rsidRPr="00195205">
              <w:rPr>
                <w:sz w:val="22"/>
                <w:szCs w:val="22"/>
              </w:rPr>
              <w:t xml:space="preserve">Please ensure that you send your </w:t>
            </w:r>
            <w:r w:rsidR="00F9477D">
              <w:rPr>
                <w:sz w:val="22"/>
                <w:szCs w:val="22"/>
              </w:rPr>
              <w:t>response</w:t>
            </w:r>
            <w:r w:rsidRPr="00195205">
              <w:rPr>
                <w:sz w:val="22"/>
                <w:szCs w:val="22"/>
              </w:rPr>
              <w:t xml:space="preserve"> in good time to prevent issues with technology – late submissions </w:t>
            </w:r>
            <w:r w:rsidR="00E80A8E">
              <w:rPr>
                <w:sz w:val="22"/>
                <w:szCs w:val="22"/>
              </w:rPr>
              <w:t xml:space="preserve">may </w:t>
            </w:r>
            <w:r w:rsidRPr="00195205">
              <w:rPr>
                <w:sz w:val="22"/>
                <w:szCs w:val="22"/>
              </w:rPr>
              <w:t>not be considered.</w:t>
            </w:r>
          </w:p>
          <w:p w:rsidR="00414476" w:rsidRPr="00E80A8E" w:rsidRDefault="00414476" w:rsidP="00837CC1">
            <w:pPr>
              <w:numPr>
                <w:ilvl w:val="0"/>
                <w:numId w:val="6"/>
              </w:numPr>
              <w:ind w:left="420"/>
              <w:rPr>
                <w:sz w:val="22"/>
                <w:szCs w:val="22"/>
              </w:rPr>
            </w:pPr>
            <w:r w:rsidRPr="00E80A8E">
              <w:rPr>
                <w:sz w:val="22"/>
                <w:szCs w:val="22"/>
              </w:rPr>
              <w:t xml:space="preserve">Do not submit any additional documentation with your </w:t>
            </w:r>
            <w:r w:rsidR="00837108">
              <w:rPr>
                <w:sz w:val="22"/>
                <w:szCs w:val="22"/>
              </w:rPr>
              <w:t>ITQ</w:t>
            </w:r>
            <w:r w:rsidRPr="004217D6">
              <w:rPr>
                <w:sz w:val="22"/>
                <w:szCs w:val="22"/>
              </w:rPr>
              <w:t xml:space="preserve"> </w:t>
            </w:r>
            <w:r w:rsidRPr="00E80A8E">
              <w:rPr>
                <w:sz w:val="22"/>
                <w:szCs w:val="22"/>
              </w:rPr>
              <w:t>response except where specifically requested</w:t>
            </w:r>
            <w:r w:rsidR="00E80A8E">
              <w:rPr>
                <w:sz w:val="22"/>
                <w:szCs w:val="22"/>
              </w:rPr>
              <w:t>.</w:t>
            </w:r>
          </w:p>
          <w:p w:rsidR="0018537F" w:rsidRDefault="0018537F" w:rsidP="00837CC1">
            <w:pPr>
              <w:numPr>
                <w:ilvl w:val="0"/>
                <w:numId w:val="6"/>
              </w:numPr>
              <w:autoSpaceDE w:val="0"/>
              <w:autoSpaceDN w:val="0"/>
              <w:adjustRightInd w:val="0"/>
              <w:ind w:left="420"/>
              <w:rPr>
                <w:sz w:val="22"/>
                <w:szCs w:val="22"/>
              </w:rPr>
            </w:pPr>
            <w:r w:rsidRPr="00195205">
              <w:rPr>
                <w:sz w:val="22"/>
                <w:szCs w:val="22"/>
              </w:rPr>
              <w:t xml:space="preserve">Supporting evidence </w:t>
            </w:r>
            <w:r>
              <w:rPr>
                <w:sz w:val="22"/>
                <w:szCs w:val="22"/>
              </w:rPr>
              <w:t>(</w:t>
            </w:r>
            <w:r w:rsidRPr="00195205">
              <w:rPr>
                <w:sz w:val="22"/>
                <w:szCs w:val="22"/>
              </w:rPr>
              <w:t>PDF, JPG, PPT, Word and Excel</w:t>
            </w:r>
            <w:r>
              <w:rPr>
                <w:sz w:val="22"/>
                <w:szCs w:val="22"/>
              </w:rPr>
              <w:t xml:space="preserve"> formats only</w:t>
            </w:r>
            <w:r w:rsidR="00E80A8E">
              <w:rPr>
                <w:sz w:val="22"/>
                <w:szCs w:val="22"/>
              </w:rPr>
              <w:t xml:space="preserve"> - </w:t>
            </w:r>
            <w:r w:rsidR="00E80A8E" w:rsidRPr="00E80A8E">
              <w:rPr>
                <w:sz w:val="22"/>
                <w:szCs w:val="22"/>
              </w:rPr>
              <w:t>other formats should not be used</w:t>
            </w:r>
            <w:r>
              <w:rPr>
                <w:sz w:val="22"/>
                <w:szCs w:val="22"/>
              </w:rPr>
              <w:t>)</w:t>
            </w:r>
            <w:r w:rsidRPr="00195205">
              <w:rPr>
                <w:sz w:val="22"/>
                <w:szCs w:val="22"/>
              </w:rPr>
              <w:t xml:space="preserve"> can be provided to substantiate your response – please ensure that all attachments/supporting evidence is clearly labelled with the appropriate </w:t>
            </w:r>
            <w:r w:rsidR="00F9477D">
              <w:rPr>
                <w:sz w:val="22"/>
                <w:szCs w:val="22"/>
              </w:rPr>
              <w:t>section/</w:t>
            </w:r>
            <w:r w:rsidRPr="00195205">
              <w:rPr>
                <w:sz w:val="22"/>
                <w:szCs w:val="22"/>
              </w:rPr>
              <w:t>question number.</w:t>
            </w:r>
          </w:p>
          <w:p w:rsidR="00266587" w:rsidRDefault="00266587" w:rsidP="00837CC1">
            <w:pPr>
              <w:numPr>
                <w:ilvl w:val="0"/>
                <w:numId w:val="6"/>
              </w:numPr>
              <w:autoSpaceDE w:val="0"/>
              <w:autoSpaceDN w:val="0"/>
              <w:adjustRightInd w:val="0"/>
              <w:ind w:left="420"/>
              <w:rPr>
                <w:sz w:val="22"/>
                <w:szCs w:val="22"/>
              </w:rPr>
            </w:pPr>
            <w:r w:rsidRPr="00195205">
              <w:rPr>
                <w:sz w:val="22"/>
                <w:szCs w:val="22"/>
              </w:rPr>
              <w:t xml:space="preserve">Where supporting evidence is requested as ‘or equivalent’ – it is the </w:t>
            </w:r>
            <w:r>
              <w:rPr>
                <w:sz w:val="22"/>
                <w:szCs w:val="22"/>
              </w:rPr>
              <w:t>Supplier’</w:t>
            </w:r>
            <w:r w:rsidRPr="00195205">
              <w:rPr>
                <w:sz w:val="22"/>
                <w:szCs w:val="22"/>
              </w:rPr>
              <w:t>s responsibility to prove the relevant equivalence</w:t>
            </w:r>
            <w:r>
              <w:rPr>
                <w:sz w:val="22"/>
                <w:szCs w:val="22"/>
              </w:rPr>
              <w:t>.</w:t>
            </w:r>
          </w:p>
          <w:p w:rsidR="00F9477D" w:rsidRDefault="0018537F" w:rsidP="00837CC1">
            <w:pPr>
              <w:numPr>
                <w:ilvl w:val="0"/>
                <w:numId w:val="6"/>
              </w:numPr>
              <w:autoSpaceDE w:val="0"/>
              <w:autoSpaceDN w:val="0"/>
              <w:adjustRightInd w:val="0"/>
              <w:ind w:left="420"/>
              <w:rPr>
                <w:sz w:val="22"/>
                <w:szCs w:val="22"/>
              </w:rPr>
            </w:pPr>
            <w:r w:rsidRPr="00F9477D">
              <w:rPr>
                <w:sz w:val="22"/>
                <w:szCs w:val="22"/>
              </w:rPr>
              <w:t xml:space="preserve">It is not acceptable to submit a generic policy in answer to a question. </w:t>
            </w:r>
          </w:p>
          <w:p w:rsidR="00414476" w:rsidRPr="00F9477D" w:rsidRDefault="00414476" w:rsidP="00837CC1">
            <w:pPr>
              <w:numPr>
                <w:ilvl w:val="0"/>
                <w:numId w:val="6"/>
              </w:numPr>
              <w:autoSpaceDE w:val="0"/>
              <w:autoSpaceDN w:val="0"/>
              <w:adjustRightInd w:val="0"/>
              <w:ind w:left="420"/>
              <w:rPr>
                <w:sz w:val="22"/>
                <w:szCs w:val="22"/>
              </w:rPr>
            </w:pPr>
            <w:r w:rsidRPr="00F9477D">
              <w:rPr>
                <w:sz w:val="22"/>
                <w:szCs w:val="22"/>
              </w:rPr>
              <w:t xml:space="preserve">All answers in the </w:t>
            </w:r>
            <w:r w:rsidR="00837108">
              <w:rPr>
                <w:sz w:val="22"/>
                <w:szCs w:val="22"/>
              </w:rPr>
              <w:t>ITQ</w:t>
            </w:r>
            <w:r w:rsidRPr="00F9477D">
              <w:rPr>
                <w:sz w:val="22"/>
                <w:szCs w:val="22"/>
              </w:rPr>
              <w:t xml:space="preserve"> response should be inserted in the </w:t>
            </w:r>
            <w:r w:rsidR="00BE576F">
              <w:rPr>
                <w:sz w:val="22"/>
                <w:szCs w:val="22"/>
              </w:rPr>
              <w:t xml:space="preserve">dedicated response </w:t>
            </w:r>
            <w:r w:rsidR="00F9477D" w:rsidRPr="00F9477D">
              <w:rPr>
                <w:sz w:val="22"/>
                <w:szCs w:val="22"/>
              </w:rPr>
              <w:t>section</w:t>
            </w:r>
            <w:r w:rsidRPr="00F9477D">
              <w:rPr>
                <w:sz w:val="22"/>
                <w:szCs w:val="22"/>
              </w:rPr>
              <w:t>/question</w:t>
            </w:r>
            <w:r w:rsidR="005A7F5A">
              <w:rPr>
                <w:sz w:val="22"/>
                <w:szCs w:val="22"/>
              </w:rPr>
              <w:t xml:space="preserve"> in Annex 1</w:t>
            </w:r>
            <w:r w:rsidR="00574B37" w:rsidRPr="00F9477D">
              <w:rPr>
                <w:sz w:val="22"/>
                <w:szCs w:val="22"/>
              </w:rPr>
              <w:t>.</w:t>
            </w:r>
          </w:p>
          <w:p w:rsidR="00414476" w:rsidRDefault="00414476" w:rsidP="00837CC1">
            <w:pPr>
              <w:numPr>
                <w:ilvl w:val="0"/>
                <w:numId w:val="6"/>
              </w:numPr>
              <w:autoSpaceDE w:val="0"/>
              <w:autoSpaceDN w:val="0"/>
              <w:adjustRightInd w:val="0"/>
              <w:ind w:left="420"/>
              <w:rPr>
                <w:sz w:val="22"/>
                <w:szCs w:val="22"/>
              </w:rPr>
            </w:pPr>
            <w:r>
              <w:rPr>
                <w:sz w:val="22"/>
                <w:szCs w:val="22"/>
              </w:rPr>
              <w:t>Any alteration to a question will invalidate your response to that question and a mark of zero will be applied.</w:t>
            </w:r>
          </w:p>
          <w:p w:rsidR="00B836BA" w:rsidRPr="00266587" w:rsidRDefault="00470CD9" w:rsidP="00837CC1">
            <w:pPr>
              <w:numPr>
                <w:ilvl w:val="0"/>
                <w:numId w:val="6"/>
              </w:numPr>
              <w:autoSpaceDE w:val="0"/>
              <w:autoSpaceDN w:val="0"/>
              <w:adjustRightInd w:val="0"/>
              <w:ind w:left="420"/>
              <w:rPr>
                <w:sz w:val="22"/>
                <w:szCs w:val="22"/>
              </w:rPr>
            </w:pPr>
            <w:r w:rsidRPr="00266587">
              <w:rPr>
                <w:sz w:val="22"/>
                <w:szCs w:val="22"/>
              </w:rPr>
              <w:t>Completion and submission of your response does not guarantee award of any B</w:t>
            </w:r>
            <w:r w:rsidR="00F9477D" w:rsidRPr="00266587">
              <w:rPr>
                <w:sz w:val="22"/>
                <w:szCs w:val="22"/>
              </w:rPr>
              <w:t xml:space="preserve">ritish Council </w:t>
            </w:r>
            <w:r w:rsidRPr="00266587">
              <w:rPr>
                <w:sz w:val="22"/>
                <w:szCs w:val="22"/>
              </w:rPr>
              <w:t>C</w:t>
            </w:r>
            <w:r w:rsidR="00F9477D" w:rsidRPr="00266587">
              <w:rPr>
                <w:sz w:val="22"/>
                <w:szCs w:val="22"/>
              </w:rPr>
              <w:t>ontract.</w:t>
            </w:r>
          </w:p>
          <w:p w:rsidR="009F07BD" w:rsidRPr="00554FFD" w:rsidRDefault="009F07BD" w:rsidP="009F07BD">
            <w:pPr>
              <w:autoSpaceDE w:val="0"/>
              <w:autoSpaceDN w:val="0"/>
              <w:adjustRightInd w:val="0"/>
              <w:ind w:left="420"/>
              <w:rPr>
                <w:sz w:val="22"/>
                <w:szCs w:val="22"/>
              </w:rPr>
            </w:pPr>
          </w:p>
        </w:tc>
      </w:tr>
      <w:tr w:rsidR="00961E5E" w:rsidRPr="006E4112" w:rsidTr="003A1C36">
        <w:trPr>
          <w:trHeight w:val="2549"/>
        </w:trPr>
        <w:tc>
          <w:tcPr>
            <w:tcW w:w="1637" w:type="dxa"/>
          </w:tcPr>
          <w:p w:rsidR="009F07BD" w:rsidRDefault="009F07BD" w:rsidP="003E2001">
            <w:pPr>
              <w:rPr>
                <w:b/>
                <w:bCs/>
                <w:sz w:val="22"/>
                <w:szCs w:val="22"/>
              </w:rPr>
            </w:pPr>
          </w:p>
          <w:p w:rsidR="00961E5E" w:rsidRPr="00554FFD" w:rsidRDefault="00961E5E" w:rsidP="003E2001">
            <w:pPr>
              <w:rPr>
                <w:b/>
                <w:bCs/>
                <w:sz w:val="22"/>
                <w:szCs w:val="22"/>
              </w:rPr>
            </w:pPr>
            <w:r w:rsidRPr="00554FFD">
              <w:rPr>
                <w:b/>
                <w:bCs/>
                <w:sz w:val="22"/>
                <w:szCs w:val="22"/>
              </w:rPr>
              <w:t>Evaluation Criteria</w:t>
            </w:r>
          </w:p>
        </w:tc>
        <w:tc>
          <w:tcPr>
            <w:tcW w:w="7861" w:type="dxa"/>
          </w:tcPr>
          <w:p w:rsidR="009F07BD" w:rsidRDefault="009F07BD" w:rsidP="00DA25B8">
            <w:pPr>
              <w:jc w:val="both"/>
              <w:rPr>
                <w:sz w:val="22"/>
                <w:szCs w:val="22"/>
              </w:rPr>
            </w:pPr>
          </w:p>
          <w:p w:rsidR="00831ACE" w:rsidRDefault="00831ACE" w:rsidP="00266587">
            <w:pPr>
              <w:jc w:val="both"/>
              <w:rPr>
                <w:sz w:val="22"/>
                <w:szCs w:val="22"/>
              </w:rPr>
            </w:pPr>
            <w:r>
              <w:rPr>
                <w:sz w:val="22"/>
                <w:szCs w:val="22"/>
              </w:rPr>
              <w:t xml:space="preserve">The award criterion for this </w:t>
            </w:r>
            <w:r w:rsidR="0061092C">
              <w:rPr>
                <w:sz w:val="22"/>
                <w:szCs w:val="22"/>
              </w:rPr>
              <w:t>Invitation to Quote</w:t>
            </w:r>
            <w:r>
              <w:rPr>
                <w:sz w:val="22"/>
                <w:szCs w:val="22"/>
              </w:rPr>
              <w:t xml:space="preserve"> is the most economically advantageous. The Supplier’s submissions will be taken into consideration only if they pass</w:t>
            </w:r>
            <w:r w:rsidR="00FF5C4F">
              <w:rPr>
                <w:sz w:val="22"/>
                <w:szCs w:val="22"/>
              </w:rPr>
              <w:t xml:space="preserve"> Section 1 - M</w:t>
            </w:r>
            <w:r>
              <w:rPr>
                <w:sz w:val="22"/>
                <w:szCs w:val="22"/>
              </w:rPr>
              <w:t xml:space="preserve">andatory and Discretionary Rejection. </w:t>
            </w:r>
          </w:p>
          <w:p w:rsidR="00831ACE" w:rsidRDefault="00831ACE" w:rsidP="00266587">
            <w:pPr>
              <w:jc w:val="both"/>
              <w:rPr>
                <w:sz w:val="22"/>
                <w:szCs w:val="22"/>
              </w:rPr>
            </w:pPr>
          </w:p>
          <w:p w:rsidR="00DA25B8" w:rsidRPr="002725B9" w:rsidRDefault="004633C0" w:rsidP="00266587">
            <w:pPr>
              <w:jc w:val="both"/>
              <w:rPr>
                <w:b/>
                <w:sz w:val="22"/>
                <w:szCs w:val="22"/>
              </w:rPr>
            </w:pPr>
            <w:r>
              <w:rPr>
                <w:sz w:val="22"/>
                <w:szCs w:val="22"/>
              </w:rPr>
              <w:t xml:space="preserve">Supplier responses </w:t>
            </w:r>
            <w:r w:rsidR="00CC252B">
              <w:rPr>
                <w:sz w:val="22"/>
                <w:szCs w:val="22"/>
              </w:rPr>
              <w:t xml:space="preserve">to this </w:t>
            </w:r>
            <w:r w:rsidR="00837108">
              <w:rPr>
                <w:sz w:val="22"/>
                <w:szCs w:val="22"/>
              </w:rPr>
              <w:t>ITQ</w:t>
            </w:r>
            <w:r w:rsidR="00CC252B">
              <w:rPr>
                <w:sz w:val="22"/>
                <w:szCs w:val="22"/>
              </w:rPr>
              <w:t xml:space="preserve"> </w:t>
            </w:r>
            <w:r w:rsidR="00DA25B8" w:rsidRPr="00DA25B8">
              <w:rPr>
                <w:rFonts w:eastAsia="Times New Roman"/>
                <w:sz w:val="22"/>
                <w:szCs w:val="22"/>
                <w:lang w:eastAsia="en-US"/>
              </w:rPr>
              <w:t xml:space="preserve">will be assessed </w:t>
            </w:r>
            <w:r>
              <w:rPr>
                <w:rFonts w:eastAsia="Times New Roman"/>
                <w:sz w:val="22"/>
                <w:szCs w:val="22"/>
                <w:lang w:eastAsia="en-US"/>
              </w:rPr>
              <w:t xml:space="preserve">using the </w:t>
            </w:r>
            <w:r w:rsidRPr="00DA25B8">
              <w:rPr>
                <w:rFonts w:eastAsia="Times New Roman"/>
                <w:sz w:val="22"/>
                <w:szCs w:val="22"/>
                <w:lang w:eastAsia="en-US"/>
              </w:rPr>
              <w:t>following criteria and weightings</w:t>
            </w:r>
            <w:r w:rsidR="00DA25B8" w:rsidRPr="00DA25B8">
              <w:rPr>
                <w:rFonts w:eastAsia="Times New Roman"/>
                <w:sz w:val="22"/>
                <w:szCs w:val="22"/>
                <w:lang w:eastAsia="en-US"/>
              </w:rPr>
              <w:t xml:space="preserve">. </w:t>
            </w:r>
          </w:p>
          <w:p w:rsidR="00266587" w:rsidRDefault="00266587" w:rsidP="00266587">
            <w:pPr>
              <w:jc w:val="both"/>
              <w:rPr>
                <w:sz w:val="22"/>
                <w:szCs w:val="22"/>
              </w:rPr>
            </w:pP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027785" w:rsidRPr="00DA25B8" w:rsidTr="00266587">
              <w:tc>
                <w:tcPr>
                  <w:tcW w:w="5660" w:type="dxa"/>
                  <w:shd w:val="clear" w:color="auto" w:fill="B3B3B3"/>
                  <w:vAlign w:val="center"/>
                </w:tcPr>
                <w:p w:rsidR="00027785" w:rsidRPr="00492B89" w:rsidRDefault="00027785" w:rsidP="000650AA">
                  <w:pPr>
                    <w:tabs>
                      <w:tab w:val="left" w:pos="1440"/>
                      <w:tab w:val="left" w:pos="1528"/>
                    </w:tabs>
                    <w:spacing w:line="360" w:lineRule="auto"/>
                    <w:jc w:val="both"/>
                    <w:rPr>
                      <w:b/>
                      <w:color w:val="000000" w:themeColor="text1"/>
                    </w:rPr>
                  </w:pPr>
                  <w:r w:rsidRPr="00492B89">
                    <w:rPr>
                      <w:b/>
                      <w:color w:val="000000" w:themeColor="text1"/>
                    </w:rPr>
                    <w:t>Criteria</w:t>
                  </w:r>
                </w:p>
              </w:tc>
              <w:tc>
                <w:tcPr>
                  <w:tcW w:w="1417" w:type="dxa"/>
                  <w:shd w:val="clear" w:color="auto" w:fill="B3B3B3"/>
                  <w:vAlign w:val="center"/>
                </w:tcPr>
                <w:p w:rsidR="00027785" w:rsidRPr="00492B89" w:rsidRDefault="00027785" w:rsidP="000650AA">
                  <w:pPr>
                    <w:tabs>
                      <w:tab w:val="left" w:pos="1440"/>
                      <w:tab w:val="left" w:pos="1528"/>
                    </w:tabs>
                    <w:spacing w:line="360" w:lineRule="auto"/>
                    <w:jc w:val="both"/>
                    <w:rPr>
                      <w:b/>
                      <w:color w:val="000000" w:themeColor="text1"/>
                    </w:rPr>
                  </w:pPr>
                  <w:r w:rsidRPr="00492B89">
                    <w:rPr>
                      <w:b/>
                      <w:color w:val="000000" w:themeColor="text1"/>
                    </w:rPr>
                    <w:t>Weighting</w:t>
                  </w:r>
                </w:p>
              </w:tc>
            </w:tr>
            <w:tr w:rsidR="00027785" w:rsidRPr="00DA25B8" w:rsidTr="00266587">
              <w:tc>
                <w:tcPr>
                  <w:tcW w:w="5660"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Section 1 – Mandatory and Discretionary Rejection</w:t>
                  </w:r>
                </w:p>
              </w:tc>
              <w:tc>
                <w:tcPr>
                  <w:tcW w:w="1417"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Pass/Fail</w:t>
                  </w:r>
                </w:p>
              </w:tc>
            </w:tr>
            <w:tr w:rsidR="00027785" w:rsidRPr="00DA25B8" w:rsidTr="00266587">
              <w:tc>
                <w:tcPr>
                  <w:tcW w:w="5660"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Section 2 – Background, knowledge and experience</w:t>
                  </w:r>
                </w:p>
              </w:tc>
              <w:tc>
                <w:tcPr>
                  <w:tcW w:w="1417"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30%</w:t>
                  </w:r>
                </w:p>
              </w:tc>
            </w:tr>
            <w:tr w:rsidR="00027785" w:rsidRPr="00DA25B8" w:rsidTr="00266587">
              <w:tc>
                <w:tcPr>
                  <w:tcW w:w="5660"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Section 3 – Summary of approach</w:t>
                  </w:r>
                </w:p>
              </w:tc>
              <w:tc>
                <w:tcPr>
                  <w:tcW w:w="1417"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30%</w:t>
                  </w:r>
                </w:p>
              </w:tc>
            </w:tr>
            <w:tr w:rsidR="00027785" w:rsidRPr="00DA25B8" w:rsidTr="00266587">
              <w:tc>
                <w:tcPr>
                  <w:tcW w:w="5660"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Section 4 - Understanding of British Council’s aims/objectives</w:t>
                  </w:r>
                </w:p>
              </w:tc>
              <w:tc>
                <w:tcPr>
                  <w:tcW w:w="1417"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5%</w:t>
                  </w:r>
                </w:p>
              </w:tc>
            </w:tr>
            <w:tr w:rsidR="00027785" w:rsidRPr="00DA25B8" w:rsidTr="00266587">
              <w:tc>
                <w:tcPr>
                  <w:tcW w:w="5660"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Section 5 – Costing/Price</w:t>
                  </w:r>
                </w:p>
              </w:tc>
              <w:tc>
                <w:tcPr>
                  <w:tcW w:w="1417" w:type="dxa"/>
                  <w:vAlign w:val="center"/>
                </w:tcPr>
                <w:p w:rsidR="00027785" w:rsidRPr="00492B89" w:rsidRDefault="00027785" w:rsidP="000650AA">
                  <w:pPr>
                    <w:tabs>
                      <w:tab w:val="left" w:pos="1440"/>
                      <w:tab w:val="left" w:pos="1528"/>
                    </w:tabs>
                    <w:spacing w:line="360" w:lineRule="auto"/>
                    <w:jc w:val="both"/>
                    <w:rPr>
                      <w:color w:val="000000" w:themeColor="text1"/>
                    </w:rPr>
                  </w:pPr>
                  <w:r w:rsidRPr="00492B89">
                    <w:rPr>
                      <w:color w:val="000000" w:themeColor="text1"/>
                    </w:rPr>
                    <w:t>35%</w:t>
                  </w:r>
                </w:p>
              </w:tc>
            </w:tr>
          </w:tbl>
          <w:p w:rsidR="000C50D6" w:rsidRDefault="000C50D6" w:rsidP="000D32A9">
            <w:pPr>
              <w:jc w:val="both"/>
              <w:rPr>
                <w:rFonts w:eastAsia="Times New Roman" w:cs="Times New Roman"/>
                <w:sz w:val="22"/>
                <w:szCs w:val="22"/>
                <w:lang w:eastAsia="en-US"/>
              </w:rPr>
            </w:pPr>
          </w:p>
          <w:p w:rsidR="00B94FC6" w:rsidRDefault="000C50D6" w:rsidP="000D32A9">
            <w:pPr>
              <w:jc w:val="both"/>
              <w:rPr>
                <w:sz w:val="22"/>
                <w:szCs w:val="22"/>
              </w:rPr>
            </w:pPr>
            <w:r w:rsidRPr="000C50D6">
              <w:rPr>
                <w:sz w:val="22"/>
                <w:szCs w:val="22"/>
              </w:rPr>
              <w:t xml:space="preserve">Evaluation of </w:t>
            </w:r>
            <w:r w:rsidR="00B94FC6">
              <w:rPr>
                <w:sz w:val="22"/>
                <w:szCs w:val="22"/>
              </w:rPr>
              <w:t xml:space="preserve">all </w:t>
            </w:r>
            <w:r w:rsidRPr="000C50D6">
              <w:rPr>
                <w:sz w:val="22"/>
                <w:szCs w:val="22"/>
              </w:rPr>
              <w:t>submitted responses will be undertaken by the evaluation panel</w:t>
            </w:r>
            <w:r w:rsidR="00B94FC6">
              <w:rPr>
                <w:sz w:val="22"/>
                <w:szCs w:val="22"/>
              </w:rPr>
              <w:t xml:space="preserve"> which will</w:t>
            </w:r>
            <w:r w:rsidRPr="000C50D6">
              <w:rPr>
                <w:sz w:val="22"/>
                <w:szCs w:val="22"/>
              </w:rPr>
              <w:t xml:space="preserve"> consist of British Council </w:t>
            </w:r>
            <w:r w:rsidR="00B94FC6">
              <w:rPr>
                <w:sz w:val="22"/>
                <w:szCs w:val="22"/>
              </w:rPr>
              <w:t>representatives</w:t>
            </w:r>
            <w:r w:rsidRPr="000C50D6">
              <w:rPr>
                <w:sz w:val="22"/>
                <w:szCs w:val="22"/>
              </w:rPr>
              <w:t xml:space="preserve"> with </w:t>
            </w:r>
            <w:r w:rsidR="00B94FC6">
              <w:rPr>
                <w:sz w:val="22"/>
                <w:szCs w:val="22"/>
              </w:rPr>
              <w:t xml:space="preserve">relevant and </w:t>
            </w:r>
            <w:r w:rsidRPr="000C50D6">
              <w:rPr>
                <w:sz w:val="22"/>
                <w:szCs w:val="22"/>
              </w:rPr>
              <w:t xml:space="preserve">significant experience and knowledge of </w:t>
            </w:r>
            <w:r w:rsidR="00B94FC6">
              <w:rPr>
                <w:sz w:val="22"/>
                <w:szCs w:val="22"/>
              </w:rPr>
              <w:t>the requirements</w:t>
            </w:r>
            <w:r w:rsidRPr="000C50D6">
              <w:rPr>
                <w:sz w:val="22"/>
                <w:szCs w:val="22"/>
              </w:rPr>
              <w:t xml:space="preserve">. </w:t>
            </w:r>
          </w:p>
          <w:p w:rsidR="00B94FC6" w:rsidRDefault="00B94FC6" w:rsidP="000D32A9">
            <w:pPr>
              <w:jc w:val="both"/>
              <w:rPr>
                <w:sz w:val="22"/>
                <w:szCs w:val="22"/>
              </w:rPr>
            </w:pPr>
          </w:p>
          <w:p w:rsidR="000C50D6" w:rsidRDefault="000C50D6" w:rsidP="000D32A9">
            <w:pPr>
              <w:jc w:val="both"/>
              <w:rPr>
                <w:sz w:val="22"/>
                <w:szCs w:val="22"/>
              </w:rPr>
            </w:pPr>
            <w:r w:rsidRPr="000C50D6">
              <w:rPr>
                <w:sz w:val="22"/>
                <w:szCs w:val="22"/>
              </w:rPr>
              <w:t>Evaluation of all submissions will only consider information presented within the respons</w:t>
            </w:r>
            <w:r w:rsidR="00876285">
              <w:rPr>
                <w:sz w:val="22"/>
                <w:szCs w:val="22"/>
              </w:rPr>
              <w:t>e. Previous/curren</w:t>
            </w:r>
            <w:r w:rsidR="006602C8">
              <w:rPr>
                <w:sz w:val="22"/>
                <w:szCs w:val="22"/>
              </w:rPr>
              <w:t>t</w:t>
            </w:r>
            <w:r w:rsidRPr="000C50D6">
              <w:rPr>
                <w:sz w:val="22"/>
                <w:szCs w:val="22"/>
              </w:rPr>
              <w:t xml:space="preserve"> relationships with </w:t>
            </w:r>
            <w:r w:rsidR="00A65F29">
              <w:rPr>
                <w:sz w:val="22"/>
                <w:szCs w:val="22"/>
              </w:rPr>
              <w:t>supplier</w:t>
            </w:r>
            <w:r w:rsidRPr="000C50D6">
              <w:rPr>
                <w:sz w:val="22"/>
                <w:szCs w:val="22"/>
              </w:rPr>
              <w:t>s cannot be taken into account when evaluating submissions</w:t>
            </w:r>
            <w:r w:rsidR="00B94FC6">
              <w:rPr>
                <w:sz w:val="22"/>
                <w:szCs w:val="22"/>
              </w:rPr>
              <w:t xml:space="preserve"> unless </w:t>
            </w:r>
            <w:r w:rsidR="00FE0F17">
              <w:rPr>
                <w:sz w:val="22"/>
                <w:szCs w:val="22"/>
              </w:rPr>
              <w:t>the previous/current</w:t>
            </w:r>
            <w:r w:rsidR="00731D79">
              <w:rPr>
                <w:sz w:val="22"/>
                <w:szCs w:val="22"/>
              </w:rPr>
              <w:t xml:space="preserve"> </w:t>
            </w:r>
            <w:r w:rsidRPr="000C50D6">
              <w:rPr>
                <w:sz w:val="22"/>
                <w:szCs w:val="22"/>
              </w:rPr>
              <w:t xml:space="preserve">experience </w:t>
            </w:r>
            <w:r w:rsidR="00B94FC6">
              <w:rPr>
                <w:sz w:val="22"/>
                <w:szCs w:val="22"/>
              </w:rPr>
              <w:t>is</w:t>
            </w:r>
            <w:r w:rsidRPr="000C50D6">
              <w:rPr>
                <w:sz w:val="22"/>
                <w:szCs w:val="22"/>
              </w:rPr>
              <w:t xml:space="preserve"> clearly evidenced within the response. Evaluation will be fair and transparent</w:t>
            </w:r>
            <w:r>
              <w:rPr>
                <w:sz w:val="22"/>
                <w:szCs w:val="22"/>
              </w:rPr>
              <w:t>.</w:t>
            </w:r>
          </w:p>
          <w:p w:rsidR="00B94FC6" w:rsidRDefault="00B94FC6" w:rsidP="00DA25B8">
            <w:pPr>
              <w:tabs>
                <w:tab w:val="left" w:pos="1545"/>
              </w:tabs>
              <w:jc w:val="both"/>
              <w:rPr>
                <w:rFonts w:eastAsia="Times New Roman"/>
                <w:sz w:val="22"/>
                <w:szCs w:val="22"/>
                <w:lang w:eastAsia="en-US"/>
              </w:rPr>
            </w:pPr>
          </w:p>
          <w:p w:rsidR="00B94FC6" w:rsidRDefault="00B94FC6" w:rsidP="00DA25B8">
            <w:pPr>
              <w:tabs>
                <w:tab w:val="left" w:pos="1545"/>
              </w:tabs>
              <w:jc w:val="both"/>
              <w:rPr>
                <w:rFonts w:eastAsia="Times New Roman"/>
                <w:sz w:val="22"/>
                <w:szCs w:val="22"/>
                <w:lang w:eastAsia="en-US"/>
              </w:rPr>
            </w:pPr>
            <w:r w:rsidRPr="00B94FC6">
              <w:rPr>
                <w:rFonts w:eastAsia="Times New Roman"/>
                <w:sz w:val="22"/>
                <w:szCs w:val="22"/>
                <w:lang w:eastAsia="en-US"/>
              </w:rPr>
              <w:t>The responses under each section will be scored based on the following matrix:</w:t>
            </w:r>
          </w:p>
          <w:p w:rsidR="00B94FC6" w:rsidRDefault="00B94FC6" w:rsidP="00DA25B8">
            <w:pPr>
              <w:tabs>
                <w:tab w:val="left" w:pos="1545"/>
              </w:tabs>
              <w:jc w:val="both"/>
              <w:rPr>
                <w:rFonts w:eastAsia="Times New Roman"/>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47"/>
            </w:tblGrid>
            <w:tr w:rsidR="00027785" w:rsidRPr="00492B89" w:rsidTr="000650AA">
              <w:trPr>
                <w:cantSplit/>
              </w:trPr>
              <w:tc>
                <w:tcPr>
                  <w:tcW w:w="0" w:type="auto"/>
                  <w:shd w:val="clear" w:color="auto" w:fill="B3B3B3"/>
                  <w:vAlign w:val="center"/>
                </w:tcPr>
                <w:p w:rsidR="00027785" w:rsidRPr="00492B89" w:rsidRDefault="00027785" w:rsidP="000650AA">
                  <w:pPr>
                    <w:tabs>
                      <w:tab w:val="left" w:pos="1440"/>
                    </w:tabs>
                    <w:spacing w:line="360" w:lineRule="auto"/>
                    <w:jc w:val="both"/>
                    <w:rPr>
                      <w:b/>
                      <w:color w:val="000000" w:themeColor="text1"/>
                    </w:rPr>
                  </w:pPr>
                  <w:r w:rsidRPr="00492B89">
                    <w:rPr>
                      <w:b/>
                      <w:color w:val="000000" w:themeColor="text1"/>
                    </w:rPr>
                    <w:t>Points</w:t>
                  </w:r>
                </w:p>
              </w:tc>
              <w:tc>
                <w:tcPr>
                  <w:tcW w:w="6647" w:type="dxa"/>
                  <w:shd w:val="clear" w:color="auto" w:fill="B3B3B3"/>
                  <w:vAlign w:val="center"/>
                </w:tcPr>
                <w:p w:rsidR="00027785" w:rsidRPr="00492B89" w:rsidRDefault="00027785" w:rsidP="000650AA">
                  <w:pPr>
                    <w:tabs>
                      <w:tab w:val="left" w:pos="1440"/>
                    </w:tabs>
                    <w:spacing w:line="360" w:lineRule="auto"/>
                    <w:jc w:val="both"/>
                    <w:rPr>
                      <w:b/>
                      <w:color w:val="000000" w:themeColor="text1"/>
                    </w:rPr>
                  </w:pPr>
                  <w:r w:rsidRPr="00492B89">
                    <w:rPr>
                      <w:b/>
                      <w:color w:val="000000" w:themeColor="text1"/>
                    </w:rPr>
                    <w:t>Interpretation</w:t>
                  </w:r>
                </w:p>
              </w:tc>
            </w:tr>
            <w:tr w:rsidR="00027785" w:rsidRPr="00492B89" w:rsidTr="000650AA">
              <w:trPr>
                <w:cantSplit/>
              </w:trPr>
              <w:tc>
                <w:tcPr>
                  <w:tcW w:w="0" w:type="auto"/>
                  <w:vAlign w:val="center"/>
                </w:tcPr>
                <w:p w:rsidR="00027785" w:rsidRPr="00492B89" w:rsidRDefault="00027785" w:rsidP="000650AA">
                  <w:pPr>
                    <w:tabs>
                      <w:tab w:val="left" w:pos="1440"/>
                    </w:tabs>
                    <w:spacing w:line="360" w:lineRule="auto"/>
                    <w:jc w:val="both"/>
                    <w:rPr>
                      <w:color w:val="000000" w:themeColor="text1"/>
                    </w:rPr>
                  </w:pPr>
                  <w:r w:rsidRPr="00492B89">
                    <w:rPr>
                      <w:color w:val="000000" w:themeColor="text1"/>
                    </w:rPr>
                    <w:t>15</w:t>
                  </w:r>
                </w:p>
              </w:tc>
              <w:tc>
                <w:tcPr>
                  <w:tcW w:w="6647" w:type="dxa"/>
                  <w:vAlign w:val="center"/>
                </w:tcPr>
                <w:p w:rsidR="00027785" w:rsidRPr="00492B89" w:rsidRDefault="00027785" w:rsidP="000650AA">
                  <w:pPr>
                    <w:tabs>
                      <w:tab w:val="left" w:pos="1440"/>
                    </w:tabs>
                    <w:jc w:val="both"/>
                    <w:rPr>
                      <w:color w:val="000000" w:themeColor="text1"/>
                    </w:rPr>
                  </w:pPr>
                  <w:r w:rsidRPr="00492B89">
                    <w:rPr>
                      <w:color w:val="000000" w:themeColor="text1"/>
                    </w:rPr>
                    <w:t>A comprehensive and strong answer indicating the supplier is fully capable and experienced to deliver the required outcomes. A detailed response that directly responds to all requirements with no ambiguity and relevant examples provided.</w:t>
                  </w:r>
                </w:p>
              </w:tc>
            </w:tr>
            <w:tr w:rsidR="00027785" w:rsidRPr="00492B89" w:rsidTr="000650AA">
              <w:trPr>
                <w:cantSplit/>
              </w:trPr>
              <w:tc>
                <w:tcPr>
                  <w:tcW w:w="0" w:type="auto"/>
                  <w:vAlign w:val="center"/>
                </w:tcPr>
                <w:p w:rsidR="00027785" w:rsidRPr="00492B89" w:rsidRDefault="00027785" w:rsidP="000650AA">
                  <w:pPr>
                    <w:tabs>
                      <w:tab w:val="left" w:pos="1440"/>
                    </w:tabs>
                    <w:spacing w:line="360" w:lineRule="auto"/>
                    <w:jc w:val="both"/>
                    <w:rPr>
                      <w:color w:val="000000" w:themeColor="text1"/>
                    </w:rPr>
                  </w:pPr>
                  <w:r w:rsidRPr="00492B89">
                    <w:rPr>
                      <w:color w:val="000000" w:themeColor="text1"/>
                    </w:rPr>
                    <w:t>12</w:t>
                  </w:r>
                </w:p>
              </w:tc>
              <w:tc>
                <w:tcPr>
                  <w:tcW w:w="6647" w:type="dxa"/>
                  <w:vAlign w:val="center"/>
                </w:tcPr>
                <w:p w:rsidR="00027785" w:rsidRPr="00492B89" w:rsidRDefault="00027785" w:rsidP="000650AA">
                  <w:pPr>
                    <w:tabs>
                      <w:tab w:val="left" w:pos="1440"/>
                    </w:tabs>
                    <w:jc w:val="both"/>
                    <w:rPr>
                      <w:color w:val="000000" w:themeColor="text1"/>
                    </w:rPr>
                  </w:pPr>
                  <w:r w:rsidRPr="00492B89">
                    <w:rPr>
                      <w:color w:val="000000" w:themeColor="text1"/>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027785" w:rsidRPr="00492B89" w:rsidTr="000650AA">
              <w:trPr>
                <w:cantSplit/>
              </w:trPr>
              <w:tc>
                <w:tcPr>
                  <w:tcW w:w="0" w:type="auto"/>
                  <w:vAlign w:val="center"/>
                </w:tcPr>
                <w:p w:rsidR="00027785" w:rsidRPr="00492B89" w:rsidRDefault="00027785" w:rsidP="000650AA">
                  <w:pPr>
                    <w:tabs>
                      <w:tab w:val="left" w:pos="1440"/>
                    </w:tabs>
                    <w:spacing w:line="360" w:lineRule="auto"/>
                    <w:jc w:val="both"/>
                    <w:rPr>
                      <w:color w:val="000000" w:themeColor="text1"/>
                    </w:rPr>
                  </w:pPr>
                  <w:r w:rsidRPr="00492B89">
                    <w:rPr>
                      <w:color w:val="000000" w:themeColor="text1"/>
                    </w:rPr>
                    <w:t>10</w:t>
                  </w:r>
                </w:p>
              </w:tc>
              <w:tc>
                <w:tcPr>
                  <w:tcW w:w="6647" w:type="dxa"/>
                  <w:vAlign w:val="center"/>
                </w:tcPr>
                <w:p w:rsidR="00027785" w:rsidRPr="00492B89" w:rsidRDefault="00027785" w:rsidP="000650AA">
                  <w:pPr>
                    <w:tabs>
                      <w:tab w:val="left" w:pos="1440"/>
                    </w:tabs>
                    <w:jc w:val="both"/>
                    <w:rPr>
                      <w:color w:val="000000" w:themeColor="text1"/>
                    </w:rPr>
                  </w:pPr>
                  <w:r w:rsidRPr="00492B89">
                    <w:rPr>
                      <w:color w:val="000000" w:themeColor="text1"/>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027785" w:rsidRPr="00492B89" w:rsidTr="000650AA">
              <w:trPr>
                <w:cantSplit/>
              </w:trPr>
              <w:tc>
                <w:tcPr>
                  <w:tcW w:w="0" w:type="auto"/>
                  <w:vAlign w:val="center"/>
                </w:tcPr>
                <w:p w:rsidR="00027785" w:rsidRPr="00492B89" w:rsidRDefault="00027785" w:rsidP="000650AA">
                  <w:pPr>
                    <w:tabs>
                      <w:tab w:val="left" w:pos="1440"/>
                    </w:tabs>
                    <w:spacing w:line="360" w:lineRule="auto"/>
                    <w:jc w:val="both"/>
                    <w:rPr>
                      <w:color w:val="000000" w:themeColor="text1"/>
                    </w:rPr>
                  </w:pPr>
                  <w:r w:rsidRPr="00492B89">
                    <w:rPr>
                      <w:color w:val="000000" w:themeColor="text1"/>
                    </w:rPr>
                    <w:t>5</w:t>
                  </w:r>
                </w:p>
              </w:tc>
              <w:tc>
                <w:tcPr>
                  <w:tcW w:w="6647" w:type="dxa"/>
                  <w:vAlign w:val="center"/>
                </w:tcPr>
                <w:p w:rsidR="00027785" w:rsidRPr="00492B89" w:rsidRDefault="00027785" w:rsidP="000650AA">
                  <w:pPr>
                    <w:tabs>
                      <w:tab w:val="left" w:pos="1440"/>
                    </w:tabs>
                    <w:jc w:val="both"/>
                    <w:rPr>
                      <w:color w:val="000000" w:themeColor="text1"/>
                    </w:rPr>
                  </w:pPr>
                  <w:r w:rsidRPr="00492B89">
                    <w:rPr>
                      <w:color w:val="000000" w:themeColor="text1"/>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27785" w:rsidRPr="00492B89" w:rsidTr="000650AA">
              <w:trPr>
                <w:cantSplit/>
              </w:trPr>
              <w:tc>
                <w:tcPr>
                  <w:tcW w:w="0" w:type="auto"/>
                  <w:vAlign w:val="center"/>
                </w:tcPr>
                <w:p w:rsidR="00027785" w:rsidRPr="00492B89" w:rsidRDefault="00027785" w:rsidP="000650AA">
                  <w:pPr>
                    <w:tabs>
                      <w:tab w:val="left" w:pos="1440"/>
                    </w:tabs>
                    <w:spacing w:line="360" w:lineRule="auto"/>
                    <w:jc w:val="both"/>
                    <w:rPr>
                      <w:color w:val="000000" w:themeColor="text1"/>
                    </w:rPr>
                  </w:pPr>
                  <w:r w:rsidRPr="00492B89">
                    <w:rPr>
                      <w:color w:val="000000" w:themeColor="text1"/>
                    </w:rPr>
                    <w:t>0</w:t>
                  </w:r>
                </w:p>
              </w:tc>
              <w:tc>
                <w:tcPr>
                  <w:tcW w:w="6647" w:type="dxa"/>
                  <w:vAlign w:val="center"/>
                </w:tcPr>
                <w:p w:rsidR="00027785" w:rsidRPr="00492B89" w:rsidRDefault="00027785" w:rsidP="000650AA">
                  <w:pPr>
                    <w:tabs>
                      <w:tab w:val="left" w:pos="1440"/>
                    </w:tabs>
                    <w:jc w:val="both"/>
                    <w:rPr>
                      <w:color w:val="000000" w:themeColor="text1"/>
                    </w:rPr>
                  </w:pPr>
                  <w:r w:rsidRPr="00492B89">
                    <w:rPr>
                      <w:color w:val="000000" w:themeColor="text1"/>
                    </w:rPr>
                    <w:t>The answer is non-compliant and/or no relevant information has been received to demonstrate the supplier can achieve the required outcomes. No response or a response that is entirely irrelevant.</w:t>
                  </w:r>
                </w:p>
              </w:tc>
            </w:tr>
          </w:tbl>
          <w:p w:rsidR="000346F6" w:rsidRDefault="000346F6" w:rsidP="00DA25B8">
            <w:pPr>
              <w:tabs>
                <w:tab w:val="left" w:pos="1545"/>
              </w:tabs>
              <w:jc w:val="both"/>
              <w:rPr>
                <w:rFonts w:eastAsia="Times New Roman"/>
                <w:sz w:val="22"/>
                <w:szCs w:val="22"/>
                <w:lang w:eastAsia="en-US"/>
              </w:rPr>
            </w:pPr>
          </w:p>
          <w:p w:rsidR="000346F6" w:rsidRDefault="000346F6" w:rsidP="00DA25B8">
            <w:pPr>
              <w:tabs>
                <w:tab w:val="left" w:pos="1545"/>
              </w:tabs>
              <w:jc w:val="both"/>
              <w:rPr>
                <w:rFonts w:eastAsia="Times New Roman"/>
                <w:sz w:val="22"/>
                <w:szCs w:val="22"/>
                <w:lang w:eastAsia="en-US"/>
              </w:rPr>
            </w:pPr>
          </w:p>
          <w:p w:rsidR="00266587" w:rsidRDefault="00266587" w:rsidP="00DA25B8">
            <w:pPr>
              <w:jc w:val="both"/>
              <w:rPr>
                <w:rFonts w:eastAsia="Times New Roman" w:cs="Times New Roman"/>
                <w:sz w:val="22"/>
                <w:szCs w:val="22"/>
                <w:lang w:eastAsia="en-US"/>
              </w:rPr>
            </w:pPr>
          </w:p>
          <w:p w:rsidR="00DA25B8" w:rsidRDefault="00DA25B8" w:rsidP="00DA25B8">
            <w:pPr>
              <w:jc w:val="both"/>
              <w:rPr>
                <w:rFonts w:eastAsia="Times New Roman" w:cs="Times New Roman"/>
                <w:sz w:val="22"/>
                <w:szCs w:val="22"/>
                <w:lang w:eastAsia="en-US"/>
              </w:rPr>
            </w:pPr>
            <w:r w:rsidRPr="00DA25B8">
              <w:rPr>
                <w:rFonts w:eastAsia="Times New Roman" w:cs="Times New Roman"/>
                <w:sz w:val="22"/>
                <w:szCs w:val="22"/>
                <w:lang w:eastAsia="en-US"/>
              </w:rPr>
              <w:t>The</w:t>
            </w:r>
            <w:r w:rsidR="00831ACE">
              <w:rPr>
                <w:rFonts w:eastAsia="Times New Roman" w:cs="Times New Roman"/>
                <w:sz w:val="22"/>
                <w:szCs w:val="22"/>
                <w:lang w:eastAsia="en-US"/>
              </w:rPr>
              <w:t xml:space="preserve"> lowest all-inclusive c</w:t>
            </w:r>
            <w:r w:rsidR="003A1C36">
              <w:rPr>
                <w:rFonts w:eastAsia="Times New Roman" w:cs="Times New Roman"/>
                <w:sz w:val="22"/>
                <w:szCs w:val="22"/>
                <w:lang w:eastAsia="en-US"/>
              </w:rPr>
              <w:t xml:space="preserve">ost </w:t>
            </w:r>
            <w:r w:rsidR="00831ACE">
              <w:rPr>
                <w:rFonts w:eastAsia="Times New Roman" w:cs="Times New Roman"/>
                <w:sz w:val="22"/>
                <w:szCs w:val="22"/>
                <w:lang w:eastAsia="en-US"/>
              </w:rPr>
              <w:t>proposed will receive</w:t>
            </w:r>
            <w:r w:rsidRPr="00DA25B8">
              <w:rPr>
                <w:rFonts w:eastAsia="Times New Roman" w:cs="Times New Roman"/>
                <w:sz w:val="22"/>
                <w:szCs w:val="22"/>
                <w:lang w:eastAsia="en-US"/>
              </w:rPr>
              <w:t xml:space="preserve"> </w:t>
            </w:r>
            <w:r w:rsidR="00D536D6" w:rsidRPr="000346F6">
              <w:rPr>
                <w:rFonts w:eastAsia="Times New Roman" w:cs="Times New Roman"/>
                <w:sz w:val="22"/>
                <w:szCs w:val="22"/>
                <w:lang w:eastAsia="en-US"/>
              </w:rPr>
              <w:t>35</w:t>
            </w:r>
            <w:r w:rsidR="003A1C36" w:rsidRPr="00D536D6">
              <w:rPr>
                <w:rFonts w:eastAsia="Times New Roman" w:cs="Times New Roman"/>
                <w:sz w:val="22"/>
                <w:szCs w:val="22"/>
                <w:lang w:eastAsia="en-US"/>
              </w:rPr>
              <w:t xml:space="preserve">% as per the </w:t>
            </w:r>
            <w:r w:rsidR="00D536D6" w:rsidRPr="00D536D6">
              <w:rPr>
                <w:rFonts w:eastAsia="Times New Roman" w:cs="Times New Roman"/>
                <w:sz w:val="22"/>
                <w:szCs w:val="22"/>
                <w:lang w:eastAsia="en-US"/>
              </w:rPr>
              <w:t>evaluation criteria</w:t>
            </w:r>
            <w:r w:rsidR="00831ACE" w:rsidRPr="00D536D6">
              <w:rPr>
                <w:rFonts w:eastAsia="Times New Roman" w:cs="Times New Roman"/>
                <w:sz w:val="22"/>
                <w:szCs w:val="22"/>
                <w:lang w:eastAsia="en-US"/>
              </w:rPr>
              <w:t>.</w:t>
            </w:r>
            <w:r w:rsidRPr="00D536D6">
              <w:rPr>
                <w:rFonts w:eastAsia="Times New Roman" w:cs="Times New Roman"/>
                <w:sz w:val="22"/>
                <w:szCs w:val="22"/>
                <w:lang w:eastAsia="en-US"/>
              </w:rPr>
              <w:t xml:space="preserve"> </w:t>
            </w:r>
            <w:r w:rsidR="00831ACE" w:rsidRPr="00D536D6">
              <w:rPr>
                <w:rFonts w:eastAsia="Times New Roman" w:cs="Times New Roman"/>
                <w:sz w:val="22"/>
                <w:szCs w:val="22"/>
                <w:lang w:eastAsia="en-US"/>
              </w:rPr>
              <w:t>A</w:t>
            </w:r>
            <w:r w:rsidRPr="00D536D6">
              <w:rPr>
                <w:rFonts w:eastAsia="Times New Roman" w:cs="Times New Roman"/>
                <w:sz w:val="22"/>
                <w:szCs w:val="22"/>
                <w:lang w:eastAsia="en-US"/>
              </w:rPr>
              <w:t xml:space="preserve">ll other </w:t>
            </w:r>
            <w:r w:rsidR="00831ACE" w:rsidRPr="00D536D6">
              <w:rPr>
                <w:rFonts w:eastAsia="Times New Roman" w:cs="Times New Roman"/>
                <w:sz w:val="22"/>
                <w:szCs w:val="22"/>
                <w:lang w:eastAsia="en-US"/>
              </w:rPr>
              <w:t>submissions will be allocated a % sco</w:t>
            </w:r>
            <w:r w:rsidR="00831ACE">
              <w:rPr>
                <w:rFonts w:eastAsia="Times New Roman" w:cs="Times New Roman"/>
                <w:sz w:val="22"/>
                <w:szCs w:val="22"/>
                <w:lang w:eastAsia="en-US"/>
              </w:rPr>
              <w:t>re p</w:t>
            </w:r>
            <w:r w:rsidRPr="00DA25B8">
              <w:rPr>
                <w:rFonts w:eastAsia="Times New Roman" w:cs="Times New Roman"/>
                <w:sz w:val="22"/>
                <w:szCs w:val="22"/>
                <w:lang w:eastAsia="en-US"/>
              </w:rPr>
              <w:t>ro-rata.</w:t>
            </w:r>
          </w:p>
          <w:p w:rsidR="00831ACE" w:rsidRDefault="00831ACE" w:rsidP="00DA25B8">
            <w:pPr>
              <w:jc w:val="both"/>
              <w:rPr>
                <w:rFonts w:eastAsia="Times New Roman" w:cs="Times New Roman"/>
                <w:sz w:val="22"/>
                <w:szCs w:val="22"/>
                <w:lang w:eastAsia="en-US"/>
              </w:rPr>
            </w:pPr>
          </w:p>
          <w:p w:rsidR="00831ACE" w:rsidRPr="00DA25B8" w:rsidRDefault="00831ACE" w:rsidP="00DA25B8">
            <w:pPr>
              <w:jc w:val="both"/>
              <w:rPr>
                <w:rFonts w:eastAsia="Times New Roman"/>
                <w:sz w:val="22"/>
                <w:szCs w:val="22"/>
                <w:lang w:eastAsia="en-US"/>
              </w:rPr>
            </w:pPr>
            <w:r>
              <w:rPr>
                <w:rFonts w:eastAsia="Times New Roman" w:cs="Times New Roman"/>
                <w:sz w:val="22"/>
                <w:szCs w:val="22"/>
                <w:lang w:eastAsia="en-US"/>
              </w:rPr>
              <w:t xml:space="preserve">The final evaluation score will then be calculated for each response by adding </w:t>
            </w:r>
            <w:r>
              <w:rPr>
                <w:rFonts w:eastAsia="Times New Roman" w:cs="Times New Roman"/>
                <w:sz w:val="22"/>
                <w:szCs w:val="22"/>
                <w:lang w:eastAsia="en-US"/>
              </w:rPr>
              <w:lastRenderedPageBreak/>
              <w:t>together the scores for each Section.</w:t>
            </w:r>
          </w:p>
          <w:p w:rsidR="00E0426C" w:rsidRPr="00554FFD" w:rsidRDefault="00E0426C" w:rsidP="00A65F29">
            <w:pPr>
              <w:jc w:val="both"/>
              <w:rPr>
                <w:sz w:val="22"/>
                <w:szCs w:val="22"/>
              </w:rPr>
            </w:pPr>
          </w:p>
        </w:tc>
      </w:tr>
    </w:tbl>
    <w:p w:rsidR="00F54FF4" w:rsidRPr="001C6D31" w:rsidRDefault="00F54FF4" w:rsidP="00F54FF4">
      <w:pPr>
        <w:autoSpaceDE w:val="0"/>
        <w:autoSpaceDN w:val="0"/>
        <w:adjustRightInd w:val="0"/>
        <w:rPr>
          <w:color w:val="0000FF"/>
          <w:sz w:val="16"/>
          <w:szCs w:val="16"/>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7"/>
        <w:gridCol w:w="7861"/>
      </w:tblGrid>
      <w:tr w:rsidR="00BA1A33" w:rsidRPr="006E4112" w:rsidTr="008F4C7D">
        <w:tc>
          <w:tcPr>
            <w:tcW w:w="1637" w:type="dxa"/>
          </w:tcPr>
          <w:p w:rsidR="00BA1A33" w:rsidRDefault="00BA1A33" w:rsidP="008F4C7D">
            <w:pPr>
              <w:rPr>
                <w:b/>
                <w:sz w:val="22"/>
                <w:szCs w:val="22"/>
              </w:rPr>
            </w:pPr>
          </w:p>
          <w:p w:rsidR="00BA1A33" w:rsidRPr="006E4112" w:rsidRDefault="00BA1A33" w:rsidP="008F4C7D">
            <w:pPr>
              <w:rPr>
                <w:b/>
                <w:bCs/>
                <w:sz w:val="22"/>
                <w:szCs w:val="22"/>
              </w:rPr>
            </w:pPr>
            <w:r w:rsidRPr="006556E5">
              <w:rPr>
                <w:b/>
                <w:sz w:val="22"/>
                <w:szCs w:val="22"/>
              </w:rPr>
              <w:t>Conditions</w:t>
            </w:r>
            <w:r>
              <w:rPr>
                <w:b/>
                <w:sz w:val="22"/>
                <w:szCs w:val="22"/>
              </w:rPr>
              <w:t xml:space="preserve"> &amp; Contractual Requirements</w:t>
            </w:r>
          </w:p>
        </w:tc>
        <w:tc>
          <w:tcPr>
            <w:tcW w:w="7861" w:type="dxa"/>
          </w:tcPr>
          <w:p w:rsidR="00BA1A33" w:rsidRPr="006556E5" w:rsidRDefault="00BA1A33" w:rsidP="008F4C7D">
            <w:pPr>
              <w:rPr>
                <w:sz w:val="22"/>
                <w:szCs w:val="22"/>
              </w:rPr>
            </w:pPr>
          </w:p>
          <w:p w:rsidR="00BA1A33" w:rsidRPr="00692D4D" w:rsidRDefault="00BA1A33" w:rsidP="008F4C7D">
            <w:pPr>
              <w:rPr>
                <w:b/>
                <w:sz w:val="22"/>
                <w:szCs w:val="22"/>
              </w:rPr>
            </w:pPr>
            <w:r w:rsidRPr="00692D4D">
              <w:rPr>
                <w:b/>
                <w:sz w:val="22"/>
                <w:szCs w:val="22"/>
              </w:rPr>
              <w:t xml:space="preserve">Confidentiality </w:t>
            </w:r>
          </w:p>
          <w:p w:rsidR="00BA1A33" w:rsidRPr="00692D4D" w:rsidRDefault="00BA1A33" w:rsidP="008F4C7D">
            <w:pPr>
              <w:rPr>
                <w:sz w:val="22"/>
                <w:szCs w:val="22"/>
              </w:rPr>
            </w:pPr>
            <w:r w:rsidRPr="00692D4D">
              <w:rPr>
                <w:sz w:val="22"/>
                <w:szCs w:val="22"/>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BA1A33" w:rsidRPr="00692D4D" w:rsidRDefault="00BA1A33" w:rsidP="008F4C7D">
            <w:pPr>
              <w:rPr>
                <w:sz w:val="22"/>
                <w:szCs w:val="22"/>
              </w:rPr>
            </w:pPr>
          </w:p>
          <w:p w:rsidR="00BA1A33" w:rsidRDefault="00BA1A33" w:rsidP="001C6D31">
            <w:pPr>
              <w:rPr>
                <w:sz w:val="22"/>
                <w:szCs w:val="22"/>
              </w:rPr>
            </w:pPr>
            <w:r w:rsidRPr="0058658B">
              <w:rPr>
                <w:sz w:val="22"/>
                <w:szCs w:val="22"/>
              </w:rPr>
              <w:t xml:space="preserve">All relevant policies that suppliers are expected to adhere to can be found on the British Council website – </w:t>
            </w:r>
            <w:hyperlink r:id="rId15" w:history="1">
              <w:r w:rsidR="00837CC1" w:rsidRPr="00476791">
                <w:rPr>
                  <w:rStyle w:val="Hyperlink"/>
                  <w:sz w:val="22"/>
                  <w:szCs w:val="22"/>
                </w:rPr>
                <w:t>http://www.britishcouncil.org/new/about-us/jobs/folder_jobs/register-as-a-consultant/policies-for-consultants-and-associates/</w:t>
              </w:r>
            </w:hyperlink>
            <w:r>
              <w:rPr>
                <w:sz w:val="22"/>
                <w:szCs w:val="22"/>
              </w:rPr>
              <w:t xml:space="preserve"> </w:t>
            </w:r>
            <w:r w:rsidRPr="0058658B">
              <w:rPr>
                <w:sz w:val="22"/>
                <w:szCs w:val="22"/>
              </w:rPr>
              <w:t xml:space="preserve"> </w:t>
            </w:r>
          </w:p>
          <w:p w:rsidR="00BA1A33" w:rsidRDefault="00BA1A33" w:rsidP="008F4C7D">
            <w:pPr>
              <w:rPr>
                <w:sz w:val="22"/>
                <w:szCs w:val="22"/>
              </w:rPr>
            </w:pPr>
          </w:p>
          <w:p w:rsidR="00BA1A33" w:rsidRPr="00692D4D" w:rsidRDefault="00BA1A33" w:rsidP="008F4C7D">
            <w:pPr>
              <w:rPr>
                <w:sz w:val="22"/>
                <w:szCs w:val="22"/>
              </w:rPr>
            </w:pPr>
            <w:r w:rsidRPr="00692D4D">
              <w:rPr>
                <w:sz w:val="22"/>
                <w:szCs w:val="22"/>
              </w:rPr>
              <w:t xml:space="preserve">This document does not constitute an offer to provide </w:t>
            </w:r>
            <w:r w:rsidRPr="00681F85">
              <w:rPr>
                <w:sz w:val="22"/>
                <w:szCs w:val="22"/>
              </w:rPr>
              <w:t>goods</w:t>
            </w:r>
            <w:r w:rsidR="00681F85">
              <w:rPr>
                <w:sz w:val="22"/>
                <w:szCs w:val="22"/>
              </w:rPr>
              <w:t>/s</w:t>
            </w:r>
            <w:r w:rsidRPr="00681F85">
              <w:rPr>
                <w:sz w:val="22"/>
                <w:szCs w:val="22"/>
              </w:rPr>
              <w:t>ervices</w:t>
            </w:r>
            <w:r w:rsidRPr="00692D4D">
              <w:rPr>
                <w:sz w:val="22"/>
                <w:szCs w:val="22"/>
              </w:rPr>
              <w:t xml:space="preserve"> to the British Council and </w:t>
            </w:r>
            <w:r>
              <w:rPr>
                <w:sz w:val="22"/>
                <w:szCs w:val="22"/>
              </w:rPr>
              <w:t xml:space="preserve">the British Council </w:t>
            </w:r>
            <w:r w:rsidRPr="00692D4D">
              <w:rPr>
                <w:sz w:val="22"/>
                <w:szCs w:val="22"/>
              </w:rPr>
              <w:t xml:space="preserve">is not obliged to award a contract for these </w:t>
            </w:r>
            <w:r w:rsidR="00681F85">
              <w:rPr>
                <w:sz w:val="22"/>
                <w:szCs w:val="22"/>
              </w:rPr>
              <w:t>goods/services</w:t>
            </w:r>
            <w:r w:rsidRPr="00692D4D">
              <w:rPr>
                <w:sz w:val="22"/>
                <w:szCs w:val="22"/>
              </w:rPr>
              <w:t>.</w:t>
            </w:r>
          </w:p>
          <w:p w:rsidR="00BA1A33" w:rsidRPr="00692D4D" w:rsidRDefault="00BA1A33" w:rsidP="008F4C7D">
            <w:pPr>
              <w:rPr>
                <w:sz w:val="22"/>
                <w:szCs w:val="22"/>
              </w:rPr>
            </w:pPr>
          </w:p>
          <w:p w:rsidR="00BA1A33" w:rsidRDefault="00BA1A33" w:rsidP="008F4C7D">
            <w:pPr>
              <w:rPr>
                <w:sz w:val="22"/>
                <w:szCs w:val="22"/>
              </w:rPr>
            </w:pPr>
            <w:r w:rsidRPr="00692D4D">
              <w:rPr>
                <w:sz w:val="22"/>
                <w:szCs w:val="22"/>
              </w:rPr>
              <w:t>The British Council reserves the right to request reference information.</w:t>
            </w:r>
          </w:p>
          <w:p w:rsidR="00BA1A33" w:rsidRDefault="00BA1A33" w:rsidP="008F4C7D">
            <w:pPr>
              <w:rPr>
                <w:sz w:val="22"/>
                <w:szCs w:val="22"/>
              </w:rPr>
            </w:pPr>
          </w:p>
          <w:p w:rsidR="00BA1A33" w:rsidRPr="00DC36F3" w:rsidRDefault="00BA1A33" w:rsidP="008F4C7D">
            <w:pPr>
              <w:rPr>
                <w:sz w:val="22"/>
                <w:szCs w:val="22"/>
              </w:rPr>
            </w:pPr>
            <w:r w:rsidRPr="00DC36F3">
              <w:rPr>
                <w:sz w:val="22"/>
                <w:szCs w:val="22"/>
              </w:rPr>
              <w:t xml:space="preserve">All costs incurred in the preparation of the </w:t>
            </w:r>
            <w:r w:rsidR="00837108">
              <w:rPr>
                <w:sz w:val="22"/>
                <w:szCs w:val="22"/>
              </w:rPr>
              <w:t>ITQ</w:t>
            </w:r>
            <w:r w:rsidRPr="00DC36F3">
              <w:rPr>
                <w:sz w:val="22"/>
                <w:szCs w:val="22"/>
              </w:rPr>
              <w:t xml:space="preserve"> response are the supplier’s responsibility.</w:t>
            </w:r>
          </w:p>
          <w:p w:rsidR="00BA1A33" w:rsidRDefault="00BA1A33" w:rsidP="008F4C7D">
            <w:pPr>
              <w:rPr>
                <w:sz w:val="22"/>
                <w:szCs w:val="22"/>
              </w:rPr>
            </w:pPr>
          </w:p>
          <w:p w:rsidR="008C579A" w:rsidRPr="008C579A" w:rsidRDefault="008C579A" w:rsidP="008C579A">
            <w:pPr>
              <w:ind w:left="360"/>
              <w:rPr>
                <w:sz w:val="22"/>
                <w:szCs w:val="22"/>
              </w:rPr>
            </w:pPr>
          </w:p>
          <w:p w:rsidR="003B7F02" w:rsidRDefault="003B7F02" w:rsidP="008F4C7D">
            <w:pPr>
              <w:rPr>
                <w:b/>
                <w:sz w:val="22"/>
                <w:szCs w:val="22"/>
              </w:rPr>
            </w:pPr>
          </w:p>
          <w:p w:rsidR="00BA1A33" w:rsidRPr="008763CA" w:rsidRDefault="00BA1A33" w:rsidP="008F4C7D">
            <w:pPr>
              <w:rPr>
                <w:b/>
                <w:sz w:val="22"/>
                <w:szCs w:val="22"/>
              </w:rPr>
            </w:pPr>
            <w:r w:rsidRPr="008763CA">
              <w:rPr>
                <w:b/>
                <w:sz w:val="22"/>
                <w:szCs w:val="22"/>
              </w:rPr>
              <w:t xml:space="preserve">Payment and Invoicing </w:t>
            </w:r>
          </w:p>
          <w:p w:rsidR="00BA1A33" w:rsidRDefault="00BA1A33" w:rsidP="008F4C7D">
            <w:pPr>
              <w:rPr>
                <w:sz w:val="22"/>
                <w:szCs w:val="22"/>
              </w:rPr>
            </w:pPr>
            <w:r w:rsidRPr="008763CA">
              <w:rPr>
                <w:sz w:val="22"/>
                <w:szCs w:val="22"/>
              </w:rPr>
              <w:t xml:space="preserve">The </w:t>
            </w:r>
            <w:r>
              <w:rPr>
                <w:sz w:val="22"/>
                <w:szCs w:val="22"/>
              </w:rPr>
              <w:t xml:space="preserve">British </w:t>
            </w:r>
            <w:r w:rsidRPr="008763CA">
              <w:rPr>
                <w:sz w:val="22"/>
                <w:szCs w:val="22"/>
              </w:rPr>
              <w:t>Council will pay correctly addressed and undisputed invoices within 30 days.</w:t>
            </w:r>
            <w:r w:rsidR="00CC252B">
              <w:rPr>
                <w:sz w:val="22"/>
                <w:szCs w:val="22"/>
              </w:rPr>
              <w:t xml:space="preserve"> </w:t>
            </w:r>
            <w:r w:rsidRPr="008763CA">
              <w:rPr>
                <w:sz w:val="22"/>
                <w:szCs w:val="22"/>
              </w:rPr>
              <w:t xml:space="preserve">The </w:t>
            </w:r>
            <w:r>
              <w:rPr>
                <w:sz w:val="22"/>
                <w:szCs w:val="22"/>
              </w:rPr>
              <w:t xml:space="preserve">British </w:t>
            </w:r>
            <w:r w:rsidRPr="008763CA">
              <w:rPr>
                <w:sz w:val="22"/>
                <w:szCs w:val="22"/>
              </w:rPr>
              <w:t xml:space="preserve">Council have a requirement for invoices to be produced in an electronic format. </w:t>
            </w:r>
          </w:p>
          <w:p w:rsidR="00BA1A33" w:rsidRPr="008763CA" w:rsidRDefault="00BA1A33" w:rsidP="008F4C7D">
            <w:pPr>
              <w:rPr>
                <w:sz w:val="22"/>
                <w:szCs w:val="22"/>
              </w:rPr>
            </w:pPr>
          </w:p>
          <w:p w:rsidR="00BA1A33" w:rsidRPr="008763CA" w:rsidRDefault="00CC252B" w:rsidP="008F4C7D">
            <w:pPr>
              <w:rPr>
                <w:sz w:val="22"/>
                <w:szCs w:val="22"/>
              </w:rPr>
            </w:pPr>
            <w:r>
              <w:rPr>
                <w:sz w:val="22"/>
                <w:szCs w:val="22"/>
              </w:rPr>
              <w:t>E</w:t>
            </w:r>
            <w:r w:rsidR="00BA1A33" w:rsidRPr="008763CA">
              <w:rPr>
                <w:sz w:val="22"/>
                <w:szCs w:val="22"/>
              </w:rPr>
              <w:t xml:space="preserve">ssential information </w:t>
            </w:r>
            <w:r w:rsidR="00C56510">
              <w:rPr>
                <w:sz w:val="22"/>
                <w:szCs w:val="22"/>
              </w:rPr>
              <w:t>to be included on any</w:t>
            </w:r>
            <w:r w:rsidR="00BA1A33" w:rsidRPr="008763CA">
              <w:rPr>
                <w:sz w:val="22"/>
                <w:szCs w:val="22"/>
              </w:rPr>
              <w:t xml:space="preserve"> invoice for the </w:t>
            </w:r>
            <w:r w:rsidR="00BA1A33">
              <w:rPr>
                <w:sz w:val="22"/>
                <w:szCs w:val="22"/>
              </w:rPr>
              <w:t xml:space="preserve">British </w:t>
            </w:r>
            <w:r w:rsidR="00BA1A33" w:rsidRPr="008763CA">
              <w:rPr>
                <w:sz w:val="22"/>
                <w:szCs w:val="22"/>
              </w:rPr>
              <w:t>Council is:</w:t>
            </w:r>
          </w:p>
          <w:p w:rsidR="00BA1A33" w:rsidRPr="008763CA" w:rsidRDefault="00BA1A33" w:rsidP="00837CC1">
            <w:pPr>
              <w:numPr>
                <w:ilvl w:val="0"/>
                <w:numId w:val="8"/>
              </w:numPr>
              <w:rPr>
                <w:sz w:val="22"/>
                <w:szCs w:val="22"/>
              </w:rPr>
            </w:pPr>
            <w:r w:rsidRPr="008763CA">
              <w:rPr>
                <w:sz w:val="22"/>
                <w:szCs w:val="22"/>
              </w:rPr>
              <w:t>A description of the services supplied.</w:t>
            </w:r>
          </w:p>
          <w:p w:rsidR="00BA1A33" w:rsidRPr="008763CA" w:rsidRDefault="00BA1A33" w:rsidP="00837CC1">
            <w:pPr>
              <w:numPr>
                <w:ilvl w:val="0"/>
                <w:numId w:val="8"/>
              </w:numPr>
              <w:rPr>
                <w:sz w:val="22"/>
                <w:szCs w:val="22"/>
              </w:rPr>
            </w:pPr>
            <w:r w:rsidRPr="008763CA">
              <w:rPr>
                <w:sz w:val="22"/>
                <w:szCs w:val="22"/>
              </w:rPr>
              <w:t xml:space="preserve">The </w:t>
            </w:r>
            <w:r>
              <w:rPr>
                <w:sz w:val="22"/>
                <w:szCs w:val="22"/>
              </w:rPr>
              <w:t xml:space="preserve">British </w:t>
            </w:r>
            <w:r w:rsidRPr="008763CA">
              <w:rPr>
                <w:sz w:val="22"/>
                <w:szCs w:val="22"/>
              </w:rPr>
              <w:t>Council reference number/Purchase Order number.</w:t>
            </w:r>
          </w:p>
          <w:p w:rsidR="00BA1A33" w:rsidRPr="008763CA" w:rsidRDefault="00BA1A33" w:rsidP="00837CC1">
            <w:pPr>
              <w:numPr>
                <w:ilvl w:val="0"/>
                <w:numId w:val="8"/>
              </w:numPr>
              <w:rPr>
                <w:sz w:val="22"/>
                <w:szCs w:val="22"/>
              </w:rPr>
            </w:pPr>
            <w:r w:rsidRPr="008763CA">
              <w:rPr>
                <w:sz w:val="22"/>
                <w:szCs w:val="22"/>
              </w:rPr>
              <w:t>Addressed to Accounts Payable.</w:t>
            </w:r>
          </w:p>
          <w:p w:rsidR="00BA1A33" w:rsidRDefault="00BA1A33" w:rsidP="00837CC1">
            <w:pPr>
              <w:numPr>
                <w:ilvl w:val="0"/>
                <w:numId w:val="8"/>
              </w:numPr>
              <w:rPr>
                <w:sz w:val="22"/>
                <w:szCs w:val="22"/>
              </w:rPr>
            </w:pPr>
            <w:r w:rsidRPr="008763CA">
              <w:rPr>
                <w:sz w:val="22"/>
                <w:szCs w:val="22"/>
              </w:rPr>
              <w:t>The costs including VAT (if applicable) and any other charges</w:t>
            </w:r>
          </w:p>
          <w:p w:rsidR="00BA1A33" w:rsidRDefault="00BA1A33" w:rsidP="008F4C7D">
            <w:pPr>
              <w:rPr>
                <w:sz w:val="22"/>
                <w:szCs w:val="22"/>
              </w:rPr>
            </w:pPr>
          </w:p>
          <w:p w:rsidR="00CC252B" w:rsidRPr="00CC252B" w:rsidRDefault="00CC252B" w:rsidP="008F4C7D">
            <w:pPr>
              <w:rPr>
                <w:b/>
                <w:sz w:val="22"/>
                <w:szCs w:val="22"/>
              </w:rPr>
            </w:pPr>
            <w:r w:rsidRPr="00CC252B">
              <w:rPr>
                <w:b/>
                <w:sz w:val="22"/>
                <w:szCs w:val="22"/>
              </w:rPr>
              <w:t>Contracting</w:t>
            </w:r>
          </w:p>
          <w:p w:rsidR="00BA1A33" w:rsidRDefault="00BA1A33" w:rsidP="008F4C7D">
            <w:pPr>
              <w:rPr>
                <w:color w:val="FF0000"/>
                <w:sz w:val="22"/>
                <w:szCs w:val="22"/>
              </w:rPr>
            </w:pPr>
            <w:r w:rsidRPr="00DC36F3">
              <w:rPr>
                <w:sz w:val="22"/>
                <w:szCs w:val="22"/>
              </w:rPr>
              <w:t xml:space="preserve">Any submissions must expressly accept the </w:t>
            </w:r>
            <w:r>
              <w:rPr>
                <w:sz w:val="22"/>
                <w:szCs w:val="22"/>
              </w:rPr>
              <w:t xml:space="preserve">British </w:t>
            </w:r>
            <w:r w:rsidRPr="00DC36F3">
              <w:rPr>
                <w:sz w:val="22"/>
                <w:szCs w:val="22"/>
              </w:rPr>
              <w:t xml:space="preserve">Council’s Contract (Terms and Conditions). If you have any objections these must be stated in writing on a separate appendix. A copy of the Contract is attached at </w:t>
            </w:r>
            <w:r w:rsidRPr="001C6D31">
              <w:rPr>
                <w:sz w:val="22"/>
                <w:szCs w:val="22"/>
              </w:rPr>
              <w:t xml:space="preserve">Annex </w:t>
            </w:r>
            <w:r w:rsidR="005A7F5A">
              <w:rPr>
                <w:sz w:val="22"/>
                <w:szCs w:val="22"/>
              </w:rPr>
              <w:t>2</w:t>
            </w:r>
            <w:r w:rsidR="001C6D31">
              <w:rPr>
                <w:color w:val="FF0000"/>
                <w:sz w:val="22"/>
                <w:szCs w:val="22"/>
              </w:rPr>
              <w:t>.</w:t>
            </w:r>
          </w:p>
          <w:p w:rsidR="001C6D31" w:rsidRDefault="001C6D31" w:rsidP="008F4C7D">
            <w:pPr>
              <w:rPr>
                <w:sz w:val="22"/>
                <w:szCs w:val="22"/>
              </w:rPr>
            </w:pPr>
          </w:p>
          <w:p w:rsidR="00BA1A33" w:rsidRDefault="00BA1A33" w:rsidP="008F4C7D">
            <w:pPr>
              <w:rPr>
                <w:sz w:val="22"/>
                <w:szCs w:val="22"/>
              </w:rPr>
            </w:pPr>
          </w:p>
          <w:p w:rsidR="00C12086" w:rsidRPr="00BF6F58" w:rsidRDefault="00BA1A33" w:rsidP="00607B23">
            <w:pPr>
              <w:rPr>
                <w:sz w:val="22"/>
                <w:szCs w:val="22"/>
              </w:rPr>
            </w:pPr>
            <w:r w:rsidRPr="005D18F7">
              <w:rPr>
                <w:sz w:val="22"/>
                <w:szCs w:val="22"/>
              </w:rPr>
              <w:t xml:space="preserve">Mandatory due diligence and discretionary rejection information </w:t>
            </w:r>
            <w:r w:rsidR="005A7F5A">
              <w:rPr>
                <w:sz w:val="22"/>
                <w:szCs w:val="22"/>
              </w:rPr>
              <w:t>included in Annex 1</w:t>
            </w:r>
            <w:r>
              <w:rPr>
                <w:sz w:val="22"/>
                <w:szCs w:val="22"/>
              </w:rPr>
              <w:t xml:space="preserve"> </w:t>
            </w:r>
            <w:r w:rsidRPr="005D18F7">
              <w:rPr>
                <w:sz w:val="22"/>
                <w:szCs w:val="22"/>
              </w:rPr>
              <w:t xml:space="preserve">will form part of your response to this </w:t>
            </w:r>
            <w:r w:rsidR="00837108">
              <w:rPr>
                <w:sz w:val="22"/>
                <w:szCs w:val="22"/>
              </w:rPr>
              <w:t>ITQ</w:t>
            </w:r>
            <w:r w:rsidRPr="005D18F7">
              <w:rPr>
                <w:sz w:val="22"/>
                <w:szCs w:val="22"/>
              </w:rPr>
              <w:t xml:space="preserve">. </w:t>
            </w:r>
          </w:p>
        </w:tc>
      </w:tr>
    </w:tbl>
    <w:p w:rsidR="004633C0" w:rsidRPr="007A1D20" w:rsidRDefault="004633C0" w:rsidP="005B70A7">
      <w:pPr>
        <w:spacing w:after="160"/>
        <w:rPr>
          <w:b/>
          <w:color w:val="FF0000"/>
          <w:sz w:val="24"/>
          <w:szCs w:val="24"/>
          <w:u w:val="single"/>
        </w:rPr>
      </w:pPr>
    </w:p>
    <w:sectPr w:rsidR="004633C0" w:rsidRPr="007A1D20" w:rsidSect="00266587">
      <w:headerReference w:type="default" r:id="rId16"/>
      <w:footerReference w:type="default" r:id="rId17"/>
      <w:pgSz w:w="11909" w:h="16834" w:code="9"/>
      <w:pgMar w:top="1135" w:right="1440" w:bottom="567"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B2" w:rsidRDefault="002972B2">
      <w:r>
        <w:separator/>
      </w:r>
    </w:p>
  </w:endnote>
  <w:endnote w:type="continuationSeparator" w:id="0">
    <w:p w:rsidR="002972B2" w:rsidRDefault="0029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ishCounci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E4" w:rsidRDefault="00355BE4">
    <w:pPr>
      <w:pStyle w:val="Footer"/>
    </w:pPr>
    <w:r>
      <w:t xml:space="preserve">May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B2" w:rsidRDefault="002972B2">
      <w:r>
        <w:separator/>
      </w:r>
    </w:p>
  </w:footnote>
  <w:footnote w:type="continuationSeparator" w:id="0">
    <w:p w:rsidR="002972B2" w:rsidRDefault="0029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BA" w:rsidRPr="00937949" w:rsidRDefault="009626BA" w:rsidP="0093794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D"/>
    <w:multiLevelType w:val="hybridMultilevel"/>
    <w:tmpl w:val="AF528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2">
    <w:nsid w:val="1D6C65E4"/>
    <w:multiLevelType w:val="hybridMultilevel"/>
    <w:tmpl w:val="535A1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nsid w:val="299F67B3"/>
    <w:multiLevelType w:val="hybridMultilevel"/>
    <w:tmpl w:val="1B1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0B6C4E"/>
    <w:multiLevelType w:val="hybridMultilevel"/>
    <w:tmpl w:val="95C88FAE"/>
    <w:lvl w:ilvl="0" w:tplc="77DA6D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0F5850"/>
    <w:multiLevelType w:val="hybridMultilevel"/>
    <w:tmpl w:val="9FAC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631091B"/>
    <w:multiLevelType w:val="hybridMultilevel"/>
    <w:tmpl w:val="EF22876E"/>
    <w:lvl w:ilvl="0" w:tplc="77DA6D3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0">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74D4646"/>
    <w:multiLevelType w:val="hybridMultilevel"/>
    <w:tmpl w:val="3CCA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6"/>
  </w:num>
  <w:num w:numId="6">
    <w:abstractNumId w:val="10"/>
  </w:num>
  <w:num w:numId="7">
    <w:abstractNumId w:val="11"/>
  </w:num>
  <w:num w:numId="8">
    <w:abstractNumId w:val="4"/>
  </w:num>
  <w:num w:numId="9">
    <w:abstractNumId w:val="0"/>
  </w:num>
  <w:num w:numId="10">
    <w:abstractNumId w:val="8"/>
  </w:num>
  <w:num w:numId="11">
    <w:abstractNumId w:val="2"/>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032A5"/>
    <w:rsid w:val="0002476A"/>
    <w:rsid w:val="00027785"/>
    <w:rsid w:val="000346F6"/>
    <w:rsid w:val="00044336"/>
    <w:rsid w:val="00057C18"/>
    <w:rsid w:val="00064B40"/>
    <w:rsid w:val="00070D60"/>
    <w:rsid w:val="000715F6"/>
    <w:rsid w:val="00076750"/>
    <w:rsid w:val="000774FD"/>
    <w:rsid w:val="00080766"/>
    <w:rsid w:val="00087436"/>
    <w:rsid w:val="000917F4"/>
    <w:rsid w:val="0009790A"/>
    <w:rsid w:val="000A6D0F"/>
    <w:rsid w:val="000B01C5"/>
    <w:rsid w:val="000B261F"/>
    <w:rsid w:val="000B5E82"/>
    <w:rsid w:val="000C1E21"/>
    <w:rsid w:val="000C50D6"/>
    <w:rsid w:val="000D2186"/>
    <w:rsid w:val="000D32A9"/>
    <w:rsid w:val="000E14E7"/>
    <w:rsid w:val="000F51E7"/>
    <w:rsid w:val="00112571"/>
    <w:rsid w:val="0011293C"/>
    <w:rsid w:val="0011382A"/>
    <w:rsid w:val="001159E0"/>
    <w:rsid w:val="00121F68"/>
    <w:rsid w:val="001415A4"/>
    <w:rsid w:val="00152CE3"/>
    <w:rsid w:val="00165130"/>
    <w:rsid w:val="00171536"/>
    <w:rsid w:val="00172EFE"/>
    <w:rsid w:val="001808D2"/>
    <w:rsid w:val="00180EA6"/>
    <w:rsid w:val="001821FA"/>
    <w:rsid w:val="0018537F"/>
    <w:rsid w:val="00187E80"/>
    <w:rsid w:val="001908C0"/>
    <w:rsid w:val="00193588"/>
    <w:rsid w:val="00195205"/>
    <w:rsid w:val="001B680E"/>
    <w:rsid w:val="001C225C"/>
    <w:rsid w:val="001C4607"/>
    <w:rsid w:val="001C574E"/>
    <w:rsid w:val="001C6D31"/>
    <w:rsid w:val="001D0616"/>
    <w:rsid w:val="001D0DC9"/>
    <w:rsid w:val="001D602E"/>
    <w:rsid w:val="001D6DB2"/>
    <w:rsid w:val="001D75D5"/>
    <w:rsid w:val="001E0E4A"/>
    <w:rsid w:val="001E5629"/>
    <w:rsid w:val="001E725F"/>
    <w:rsid w:val="00210B3A"/>
    <w:rsid w:val="002121E9"/>
    <w:rsid w:val="00212DCB"/>
    <w:rsid w:val="002236D6"/>
    <w:rsid w:val="0023057C"/>
    <w:rsid w:val="002433C3"/>
    <w:rsid w:val="00266587"/>
    <w:rsid w:val="00266E2F"/>
    <w:rsid w:val="0027120D"/>
    <w:rsid w:val="002725B9"/>
    <w:rsid w:val="0027454C"/>
    <w:rsid w:val="00276A84"/>
    <w:rsid w:val="00276D02"/>
    <w:rsid w:val="00284CBC"/>
    <w:rsid w:val="002972B2"/>
    <w:rsid w:val="002A6BA4"/>
    <w:rsid w:val="002A7B49"/>
    <w:rsid w:val="002B3428"/>
    <w:rsid w:val="002B40BC"/>
    <w:rsid w:val="002C24C3"/>
    <w:rsid w:val="002D5FC8"/>
    <w:rsid w:val="002E1F3D"/>
    <w:rsid w:val="002F4CA0"/>
    <w:rsid w:val="0030703E"/>
    <w:rsid w:val="00314E00"/>
    <w:rsid w:val="00316D81"/>
    <w:rsid w:val="00320393"/>
    <w:rsid w:val="003260B9"/>
    <w:rsid w:val="00336EC2"/>
    <w:rsid w:val="0034068E"/>
    <w:rsid w:val="00343756"/>
    <w:rsid w:val="00352128"/>
    <w:rsid w:val="00355BE4"/>
    <w:rsid w:val="003740AC"/>
    <w:rsid w:val="0038087D"/>
    <w:rsid w:val="00393929"/>
    <w:rsid w:val="0039584C"/>
    <w:rsid w:val="003A0C3D"/>
    <w:rsid w:val="003A1C36"/>
    <w:rsid w:val="003A701B"/>
    <w:rsid w:val="003B1C56"/>
    <w:rsid w:val="003B7F02"/>
    <w:rsid w:val="003C6347"/>
    <w:rsid w:val="003E146D"/>
    <w:rsid w:val="003E2001"/>
    <w:rsid w:val="003E56D3"/>
    <w:rsid w:val="003F705F"/>
    <w:rsid w:val="0040159B"/>
    <w:rsid w:val="00413563"/>
    <w:rsid w:val="00413EB5"/>
    <w:rsid w:val="00414476"/>
    <w:rsid w:val="00415810"/>
    <w:rsid w:val="004217D6"/>
    <w:rsid w:val="004224F9"/>
    <w:rsid w:val="0043461A"/>
    <w:rsid w:val="00442C00"/>
    <w:rsid w:val="004449D5"/>
    <w:rsid w:val="00445BE6"/>
    <w:rsid w:val="00445C03"/>
    <w:rsid w:val="00453EC1"/>
    <w:rsid w:val="00457D42"/>
    <w:rsid w:val="004633C0"/>
    <w:rsid w:val="00470CD9"/>
    <w:rsid w:val="00477E5A"/>
    <w:rsid w:val="0048005F"/>
    <w:rsid w:val="00484594"/>
    <w:rsid w:val="004845E9"/>
    <w:rsid w:val="0049081D"/>
    <w:rsid w:val="00491ECB"/>
    <w:rsid w:val="004A2178"/>
    <w:rsid w:val="004A2AF5"/>
    <w:rsid w:val="004A2D76"/>
    <w:rsid w:val="004A4530"/>
    <w:rsid w:val="004A6B67"/>
    <w:rsid w:val="004B0A3C"/>
    <w:rsid w:val="004B1CA5"/>
    <w:rsid w:val="004B423C"/>
    <w:rsid w:val="004B5075"/>
    <w:rsid w:val="004C0883"/>
    <w:rsid w:val="004C5F16"/>
    <w:rsid w:val="004F1630"/>
    <w:rsid w:val="0054278A"/>
    <w:rsid w:val="005450AB"/>
    <w:rsid w:val="00553353"/>
    <w:rsid w:val="00554B45"/>
    <w:rsid w:val="00554FFD"/>
    <w:rsid w:val="00555B8D"/>
    <w:rsid w:val="00555CA6"/>
    <w:rsid w:val="00574B37"/>
    <w:rsid w:val="0058658B"/>
    <w:rsid w:val="00587FEF"/>
    <w:rsid w:val="005A15CB"/>
    <w:rsid w:val="005A5C99"/>
    <w:rsid w:val="005A7F5A"/>
    <w:rsid w:val="005B5B3E"/>
    <w:rsid w:val="005B61F9"/>
    <w:rsid w:val="005B70A7"/>
    <w:rsid w:val="005C06BE"/>
    <w:rsid w:val="005C1AC2"/>
    <w:rsid w:val="005C58F0"/>
    <w:rsid w:val="005C7234"/>
    <w:rsid w:val="005D18F7"/>
    <w:rsid w:val="005D5745"/>
    <w:rsid w:val="005D7FCF"/>
    <w:rsid w:val="005E1865"/>
    <w:rsid w:val="005E5DB8"/>
    <w:rsid w:val="005F0801"/>
    <w:rsid w:val="005F389E"/>
    <w:rsid w:val="00600E4A"/>
    <w:rsid w:val="006062EC"/>
    <w:rsid w:val="00606507"/>
    <w:rsid w:val="00607B23"/>
    <w:rsid w:val="0061092C"/>
    <w:rsid w:val="006132E9"/>
    <w:rsid w:val="00617BC7"/>
    <w:rsid w:val="00622B9D"/>
    <w:rsid w:val="0063671C"/>
    <w:rsid w:val="00640167"/>
    <w:rsid w:val="00652DF6"/>
    <w:rsid w:val="006602C8"/>
    <w:rsid w:val="00665B45"/>
    <w:rsid w:val="00681462"/>
    <w:rsid w:val="00681F85"/>
    <w:rsid w:val="006844C1"/>
    <w:rsid w:val="00686CCB"/>
    <w:rsid w:val="00692D4D"/>
    <w:rsid w:val="006C636C"/>
    <w:rsid w:val="006E316E"/>
    <w:rsid w:val="006E37DC"/>
    <w:rsid w:val="006E4112"/>
    <w:rsid w:val="006F3540"/>
    <w:rsid w:val="006F5BEE"/>
    <w:rsid w:val="00706BC5"/>
    <w:rsid w:val="007154A1"/>
    <w:rsid w:val="00716104"/>
    <w:rsid w:val="0072091D"/>
    <w:rsid w:val="007209BA"/>
    <w:rsid w:val="00723715"/>
    <w:rsid w:val="007278B2"/>
    <w:rsid w:val="00731516"/>
    <w:rsid w:val="00731D79"/>
    <w:rsid w:val="00734FD4"/>
    <w:rsid w:val="007352A0"/>
    <w:rsid w:val="007375A1"/>
    <w:rsid w:val="00742E69"/>
    <w:rsid w:val="007444FE"/>
    <w:rsid w:val="007447B2"/>
    <w:rsid w:val="00747E77"/>
    <w:rsid w:val="00751342"/>
    <w:rsid w:val="0075258A"/>
    <w:rsid w:val="0075264A"/>
    <w:rsid w:val="00765718"/>
    <w:rsid w:val="00775D67"/>
    <w:rsid w:val="0077794B"/>
    <w:rsid w:val="007852D1"/>
    <w:rsid w:val="00787054"/>
    <w:rsid w:val="007922DA"/>
    <w:rsid w:val="007929D2"/>
    <w:rsid w:val="00797091"/>
    <w:rsid w:val="007A1D20"/>
    <w:rsid w:val="007A355C"/>
    <w:rsid w:val="007B0233"/>
    <w:rsid w:val="007B2306"/>
    <w:rsid w:val="007B6748"/>
    <w:rsid w:val="007B7902"/>
    <w:rsid w:val="007C4C10"/>
    <w:rsid w:val="007D1E20"/>
    <w:rsid w:val="007F0C3B"/>
    <w:rsid w:val="007F0E25"/>
    <w:rsid w:val="007F43BD"/>
    <w:rsid w:val="00820060"/>
    <w:rsid w:val="00821B47"/>
    <w:rsid w:val="008238EC"/>
    <w:rsid w:val="00824E5F"/>
    <w:rsid w:val="00831ACE"/>
    <w:rsid w:val="00837108"/>
    <w:rsid w:val="00837475"/>
    <w:rsid w:val="00837CC1"/>
    <w:rsid w:val="00842D3E"/>
    <w:rsid w:val="00851056"/>
    <w:rsid w:val="0086689E"/>
    <w:rsid w:val="00876285"/>
    <w:rsid w:val="008763CA"/>
    <w:rsid w:val="00881BE9"/>
    <w:rsid w:val="00883760"/>
    <w:rsid w:val="008855C4"/>
    <w:rsid w:val="00886E17"/>
    <w:rsid w:val="008903E4"/>
    <w:rsid w:val="008936CA"/>
    <w:rsid w:val="008A467C"/>
    <w:rsid w:val="008A6D86"/>
    <w:rsid w:val="008B5203"/>
    <w:rsid w:val="008C0C42"/>
    <w:rsid w:val="008C579A"/>
    <w:rsid w:val="008D170E"/>
    <w:rsid w:val="008D2520"/>
    <w:rsid w:val="008E0B03"/>
    <w:rsid w:val="008F1481"/>
    <w:rsid w:val="008F2513"/>
    <w:rsid w:val="008F4C7D"/>
    <w:rsid w:val="00905C41"/>
    <w:rsid w:val="00907F08"/>
    <w:rsid w:val="009116B8"/>
    <w:rsid w:val="00930936"/>
    <w:rsid w:val="00937949"/>
    <w:rsid w:val="00956962"/>
    <w:rsid w:val="00961E5E"/>
    <w:rsid w:val="009626BA"/>
    <w:rsid w:val="009714BB"/>
    <w:rsid w:val="00993D62"/>
    <w:rsid w:val="00997195"/>
    <w:rsid w:val="009A64E3"/>
    <w:rsid w:val="009C2113"/>
    <w:rsid w:val="009C6650"/>
    <w:rsid w:val="009D56F3"/>
    <w:rsid w:val="009E1EAA"/>
    <w:rsid w:val="009F07BD"/>
    <w:rsid w:val="009F07C7"/>
    <w:rsid w:val="009F17AA"/>
    <w:rsid w:val="009F3512"/>
    <w:rsid w:val="009F3727"/>
    <w:rsid w:val="00A14209"/>
    <w:rsid w:val="00A22314"/>
    <w:rsid w:val="00A2555E"/>
    <w:rsid w:val="00A25D5B"/>
    <w:rsid w:val="00A30155"/>
    <w:rsid w:val="00A30370"/>
    <w:rsid w:val="00A425D5"/>
    <w:rsid w:val="00A554A3"/>
    <w:rsid w:val="00A63FC4"/>
    <w:rsid w:val="00A65F29"/>
    <w:rsid w:val="00A72035"/>
    <w:rsid w:val="00A72395"/>
    <w:rsid w:val="00A732BC"/>
    <w:rsid w:val="00A73998"/>
    <w:rsid w:val="00A7483B"/>
    <w:rsid w:val="00A77C30"/>
    <w:rsid w:val="00A83BBE"/>
    <w:rsid w:val="00A96294"/>
    <w:rsid w:val="00AA6CC8"/>
    <w:rsid w:val="00AB2813"/>
    <w:rsid w:val="00AB422C"/>
    <w:rsid w:val="00AC5459"/>
    <w:rsid w:val="00AD24D0"/>
    <w:rsid w:val="00AD6BD5"/>
    <w:rsid w:val="00AF64A2"/>
    <w:rsid w:val="00B00F43"/>
    <w:rsid w:val="00B0105F"/>
    <w:rsid w:val="00B07B87"/>
    <w:rsid w:val="00B262E5"/>
    <w:rsid w:val="00B26B37"/>
    <w:rsid w:val="00B277D1"/>
    <w:rsid w:val="00B31FF0"/>
    <w:rsid w:val="00B43EE0"/>
    <w:rsid w:val="00B51AF5"/>
    <w:rsid w:val="00B55B1C"/>
    <w:rsid w:val="00B63778"/>
    <w:rsid w:val="00B6643A"/>
    <w:rsid w:val="00B7139D"/>
    <w:rsid w:val="00B7351F"/>
    <w:rsid w:val="00B73886"/>
    <w:rsid w:val="00B7791A"/>
    <w:rsid w:val="00B80819"/>
    <w:rsid w:val="00B836BA"/>
    <w:rsid w:val="00B83DB9"/>
    <w:rsid w:val="00B853A8"/>
    <w:rsid w:val="00B93140"/>
    <w:rsid w:val="00B94FC6"/>
    <w:rsid w:val="00BA1A33"/>
    <w:rsid w:val="00BB4001"/>
    <w:rsid w:val="00BB5A56"/>
    <w:rsid w:val="00BC27CD"/>
    <w:rsid w:val="00BC34CC"/>
    <w:rsid w:val="00BC705D"/>
    <w:rsid w:val="00BD281D"/>
    <w:rsid w:val="00BD36EE"/>
    <w:rsid w:val="00BE2961"/>
    <w:rsid w:val="00BE576F"/>
    <w:rsid w:val="00BF2156"/>
    <w:rsid w:val="00BF495F"/>
    <w:rsid w:val="00BF6F58"/>
    <w:rsid w:val="00BF6F80"/>
    <w:rsid w:val="00C06518"/>
    <w:rsid w:val="00C12086"/>
    <w:rsid w:val="00C323BD"/>
    <w:rsid w:val="00C328AC"/>
    <w:rsid w:val="00C4046F"/>
    <w:rsid w:val="00C41A1B"/>
    <w:rsid w:val="00C506AE"/>
    <w:rsid w:val="00C56510"/>
    <w:rsid w:val="00C94B91"/>
    <w:rsid w:val="00CA1200"/>
    <w:rsid w:val="00CA2A7A"/>
    <w:rsid w:val="00CA37DC"/>
    <w:rsid w:val="00CB4D4E"/>
    <w:rsid w:val="00CC252B"/>
    <w:rsid w:val="00CC7F84"/>
    <w:rsid w:val="00CE3E77"/>
    <w:rsid w:val="00D04E35"/>
    <w:rsid w:val="00D06099"/>
    <w:rsid w:val="00D15E13"/>
    <w:rsid w:val="00D22BA2"/>
    <w:rsid w:val="00D23081"/>
    <w:rsid w:val="00D3300E"/>
    <w:rsid w:val="00D46804"/>
    <w:rsid w:val="00D51590"/>
    <w:rsid w:val="00D536D6"/>
    <w:rsid w:val="00D56517"/>
    <w:rsid w:val="00D61C97"/>
    <w:rsid w:val="00D81B85"/>
    <w:rsid w:val="00D85A48"/>
    <w:rsid w:val="00D863C3"/>
    <w:rsid w:val="00D94587"/>
    <w:rsid w:val="00D95275"/>
    <w:rsid w:val="00DA25B8"/>
    <w:rsid w:val="00DA5E44"/>
    <w:rsid w:val="00DC36F3"/>
    <w:rsid w:val="00DC61E5"/>
    <w:rsid w:val="00DD3837"/>
    <w:rsid w:val="00DD50CA"/>
    <w:rsid w:val="00DD65C5"/>
    <w:rsid w:val="00DE056E"/>
    <w:rsid w:val="00DE061C"/>
    <w:rsid w:val="00DE3386"/>
    <w:rsid w:val="00DE5305"/>
    <w:rsid w:val="00DE6D36"/>
    <w:rsid w:val="00DE6E6D"/>
    <w:rsid w:val="00DF3C5D"/>
    <w:rsid w:val="00DF4089"/>
    <w:rsid w:val="00DF6F34"/>
    <w:rsid w:val="00E016CC"/>
    <w:rsid w:val="00E0426C"/>
    <w:rsid w:val="00E062A0"/>
    <w:rsid w:val="00E1244D"/>
    <w:rsid w:val="00E17848"/>
    <w:rsid w:val="00E17AA6"/>
    <w:rsid w:val="00E17B73"/>
    <w:rsid w:val="00E2239C"/>
    <w:rsid w:val="00E269A2"/>
    <w:rsid w:val="00E30741"/>
    <w:rsid w:val="00E34AFD"/>
    <w:rsid w:val="00E37AAE"/>
    <w:rsid w:val="00E4089C"/>
    <w:rsid w:val="00E461FB"/>
    <w:rsid w:val="00E46EDC"/>
    <w:rsid w:val="00E513EC"/>
    <w:rsid w:val="00E54718"/>
    <w:rsid w:val="00E8021A"/>
    <w:rsid w:val="00E80A8E"/>
    <w:rsid w:val="00E85D1A"/>
    <w:rsid w:val="00E86083"/>
    <w:rsid w:val="00E910A2"/>
    <w:rsid w:val="00EA2E26"/>
    <w:rsid w:val="00EB0267"/>
    <w:rsid w:val="00EB2C32"/>
    <w:rsid w:val="00ED0FD1"/>
    <w:rsid w:val="00ED60E0"/>
    <w:rsid w:val="00EE1F20"/>
    <w:rsid w:val="00EE39C0"/>
    <w:rsid w:val="00F03C82"/>
    <w:rsid w:val="00F06EF3"/>
    <w:rsid w:val="00F2254A"/>
    <w:rsid w:val="00F3218A"/>
    <w:rsid w:val="00F3343E"/>
    <w:rsid w:val="00F50B8B"/>
    <w:rsid w:val="00F517C9"/>
    <w:rsid w:val="00F54051"/>
    <w:rsid w:val="00F549CD"/>
    <w:rsid w:val="00F54B4B"/>
    <w:rsid w:val="00F54FF4"/>
    <w:rsid w:val="00F70BA9"/>
    <w:rsid w:val="00F761F4"/>
    <w:rsid w:val="00F82012"/>
    <w:rsid w:val="00F82ABB"/>
    <w:rsid w:val="00F83136"/>
    <w:rsid w:val="00F92FD1"/>
    <w:rsid w:val="00F9477D"/>
    <w:rsid w:val="00FA14C2"/>
    <w:rsid w:val="00FA51CE"/>
    <w:rsid w:val="00FA65B8"/>
    <w:rsid w:val="00FB3429"/>
    <w:rsid w:val="00FC3F4F"/>
    <w:rsid w:val="00FD5ECD"/>
    <w:rsid w:val="00FD68A6"/>
    <w:rsid w:val="00FD71B9"/>
    <w:rsid w:val="00FE0F17"/>
    <w:rsid w:val="00FE5E31"/>
    <w:rsid w:val="00FE7626"/>
    <w:rsid w:val="00FF5C4F"/>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7"/>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7"/>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9818">
      <w:bodyDiv w:val="1"/>
      <w:marLeft w:val="0"/>
      <w:marRight w:val="0"/>
      <w:marTop w:val="0"/>
      <w:marBottom w:val="0"/>
      <w:divBdr>
        <w:top w:val="none" w:sz="0" w:space="0" w:color="auto"/>
        <w:left w:val="none" w:sz="0" w:space="0" w:color="auto"/>
        <w:bottom w:val="none" w:sz="0" w:space="0" w:color="auto"/>
        <w:right w:val="none" w:sz="0" w:space="0" w:color="auto"/>
      </w:divBdr>
    </w:div>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21010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ritishcouncil.org/new/about-us/jobs/folder_jobs/register-as-a-consultant/policies-for-consultants-and-associat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ktoriia.teliga@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E39D8B621C04FB86B985F3287885E" ma:contentTypeVersion="0" ma:contentTypeDescription="Create a new document." ma:contentTypeScope="" ma:versionID="ad53fc51f4eba952af15aab56cd631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39C3-1931-4D00-BD90-59FC19534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6A0F5-BE0D-4B99-AC72-ACA7B6FC1A62}">
  <ds:schemaRefs>
    <ds:schemaRef ds:uri="http://schemas.microsoft.com/sharepoint/v3/contenttype/forms"/>
  </ds:schemaRefs>
</ds:datastoreItem>
</file>

<file path=customXml/itemProps3.xml><?xml version="1.0" encoding="utf-8"?>
<ds:datastoreItem xmlns:ds="http://schemas.openxmlformats.org/officeDocument/2006/customXml" ds:itemID="{05489F0B-1ACD-4A95-97C0-8CA3F096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1A22A6-D6EE-41E2-B6FA-796E4C85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Date:</vt:lpstr>
    </vt:vector>
  </TitlesOfParts>
  <Company>The British Council</Company>
  <LinksUpToDate>false</LinksUpToDate>
  <CharactersWithSpaces>13643</CharactersWithSpaces>
  <SharedDoc>false</SharedDoc>
  <HLinks>
    <vt:vector size="24" baseType="variant">
      <vt:variant>
        <vt:i4>4325413</vt:i4>
      </vt:variant>
      <vt:variant>
        <vt:i4>9</vt:i4>
      </vt:variant>
      <vt:variant>
        <vt:i4>0</vt:i4>
      </vt:variant>
      <vt:variant>
        <vt:i4>5</vt:i4>
      </vt:variant>
      <vt:variant>
        <vt:lpwstr>http://www.britishcouncil.org/new/about-us/jobs/folder_jobs/register-as-a-consultant/policies-for-consultants-and-associates/</vt:lpwstr>
      </vt:variant>
      <vt:variant>
        <vt:lpwstr/>
      </vt:variant>
      <vt:variant>
        <vt:i4>131130</vt:i4>
      </vt:variant>
      <vt:variant>
        <vt:i4>6</vt:i4>
      </vt:variant>
      <vt:variant>
        <vt:i4>0</vt:i4>
      </vt:variant>
      <vt:variant>
        <vt:i4>5</vt:i4>
      </vt:variant>
      <vt:variant>
        <vt:lpwstr>mailto:melanie.relton@ae.britishcouncil.org</vt:lpwstr>
      </vt:variant>
      <vt:variant>
        <vt:lpwstr/>
      </vt:variant>
      <vt:variant>
        <vt:i4>131130</vt:i4>
      </vt:variant>
      <vt:variant>
        <vt:i4>3</vt:i4>
      </vt:variant>
      <vt:variant>
        <vt:i4>0</vt:i4>
      </vt:variant>
      <vt:variant>
        <vt:i4>5</vt:i4>
      </vt:variant>
      <vt:variant>
        <vt:lpwstr>mailto:melanie.relton@ae.britishcouncil.org</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EmmaBaker</dc:creator>
  <cp:lastModifiedBy>Teliga, Viktoria (Education &amp; Society)</cp:lastModifiedBy>
  <cp:revision>2</cp:revision>
  <cp:lastPrinted>2015-05-22T10:39:00Z</cp:lastPrinted>
  <dcterms:created xsi:type="dcterms:W3CDTF">2016-02-09T09:46:00Z</dcterms:created>
  <dcterms:modified xsi:type="dcterms:W3CDTF">2016-02-09T09:46:00Z</dcterms:modified>
</cp:coreProperties>
</file>